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AD2" w:rsidRPr="00C766C7" w:rsidRDefault="00B57AD2" w:rsidP="00B57AD2">
      <w:pPr>
        <w:pStyle w:val="Bezodstpw"/>
        <w:rPr>
          <w:rFonts w:ascii="Arial" w:hAnsi="Arial" w:cs="Arial"/>
          <w:b/>
          <w:sz w:val="20"/>
          <w:szCs w:val="20"/>
        </w:rPr>
      </w:pPr>
      <w:bookmarkStart w:id="0" w:name="_Hlk492552315"/>
      <w:r w:rsidRPr="00C766C7">
        <w:rPr>
          <w:rFonts w:ascii="Arial" w:hAnsi="Arial" w:cs="Arial"/>
          <w:b/>
          <w:sz w:val="20"/>
          <w:szCs w:val="20"/>
        </w:rPr>
        <w:t xml:space="preserve">1/4. </w:t>
      </w:r>
      <w:r w:rsidRPr="00C766C7">
        <w:rPr>
          <w:rFonts w:ascii="Arial" w:hAnsi="Arial" w:cs="Arial"/>
          <w:b/>
          <w:sz w:val="20"/>
          <w:szCs w:val="20"/>
        </w:rPr>
        <w:tab/>
      </w:r>
      <w:r w:rsidRPr="00C766C7">
        <w:rPr>
          <w:rFonts w:ascii="Arial" w:hAnsi="Arial" w:cs="Arial"/>
          <w:b/>
          <w:sz w:val="20"/>
          <w:szCs w:val="20"/>
        </w:rPr>
        <w:tab/>
        <w:t>ROBOTY TYNKARSKIE</w:t>
      </w:r>
    </w:p>
    <w:p w:rsidR="00B57AD2" w:rsidRDefault="00B57AD2" w:rsidP="00B57AD2">
      <w:pPr>
        <w:pStyle w:val="Bezodstpw"/>
        <w:rPr>
          <w:rFonts w:ascii="Arial" w:hAnsi="Arial" w:cs="Arial"/>
          <w:b/>
          <w:sz w:val="20"/>
          <w:szCs w:val="20"/>
        </w:rPr>
      </w:pPr>
      <w:r w:rsidRPr="00C766C7">
        <w:rPr>
          <w:rFonts w:ascii="Arial" w:hAnsi="Arial" w:cs="Arial"/>
          <w:b/>
          <w:sz w:val="20"/>
          <w:szCs w:val="20"/>
        </w:rPr>
        <w:t xml:space="preserve">1.4.1. </w:t>
      </w:r>
      <w:r w:rsidRPr="00C766C7">
        <w:rPr>
          <w:rFonts w:ascii="Arial" w:hAnsi="Arial" w:cs="Arial"/>
          <w:b/>
          <w:sz w:val="20"/>
          <w:szCs w:val="20"/>
        </w:rPr>
        <w:tab/>
      </w:r>
      <w:r w:rsidRPr="00C766C7">
        <w:rPr>
          <w:rFonts w:ascii="Arial" w:hAnsi="Arial" w:cs="Arial"/>
          <w:b/>
          <w:sz w:val="20"/>
          <w:szCs w:val="20"/>
        </w:rPr>
        <w:tab/>
        <w:t>Tynki trasowe wysokodyfuzyjne</w:t>
      </w:r>
    </w:p>
    <w:p w:rsidR="00BB4002" w:rsidRDefault="00BB4002" w:rsidP="00B57AD2">
      <w:pPr>
        <w:pStyle w:val="Bezodstpw"/>
        <w:rPr>
          <w:rFonts w:ascii="Arial" w:hAnsi="Arial" w:cs="Arial"/>
          <w:b/>
          <w:sz w:val="20"/>
          <w:szCs w:val="20"/>
        </w:rPr>
      </w:pPr>
    </w:p>
    <w:p w:rsidR="00AE6E20" w:rsidRPr="00BB4002" w:rsidRDefault="00BB4002" w:rsidP="00BB4002">
      <w:pPr>
        <w:rPr>
          <w:rFonts w:ascii="Arial" w:hAnsi="Arial" w:cs="Arial"/>
        </w:rPr>
      </w:pPr>
      <w:r>
        <w:rPr>
          <w:rFonts w:ascii="Arial" w:hAnsi="Arial" w:cs="Arial"/>
        </w:rPr>
        <w:t>Kod CPV-</w:t>
      </w:r>
      <w:r>
        <w:rPr>
          <w:rFonts w:ascii="Arial" w:hAnsi="Arial" w:cs="Arial"/>
          <w:i/>
        </w:rPr>
        <w:t>45261310-0</w:t>
      </w:r>
      <w:bookmarkStart w:id="1" w:name="_GoBack"/>
      <w:bookmarkEnd w:id="1"/>
    </w:p>
    <w:p w:rsidR="00AE6E20" w:rsidRPr="00AE6E20" w:rsidRDefault="00AE6E20" w:rsidP="00AE6E20">
      <w:pPr>
        <w:numPr>
          <w:ilvl w:val="0"/>
          <w:numId w:val="1"/>
        </w:numPr>
        <w:spacing w:after="0" w:line="360" w:lineRule="auto"/>
        <w:jc w:val="both"/>
        <w:rPr>
          <w:rFonts w:ascii="Arial" w:hAnsi="Arial" w:cs="Arial"/>
          <w:b/>
          <w:sz w:val="20"/>
          <w:szCs w:val="20"/>
          <w:u w:val="single"/>
        </w:rPr>
      </w:pPr>
      <w:bookmarkStart w:id="2" w:name="_Hlk492546109"/>
      <w:r w:rsidRPr="00AE6E20">
        <w:rPr>
          <w:rFonts w:ascii="Arial" w:hAnsi="Arial" w:cs="Arial"/>
          <w:b/>
          <w:sz w:val="20"/>
          <w:szCs w:val="20"/>
          <w:u w:val="single"/>
        </w:rPr>
        <w:t>WSTĘP</w:t>
      </w:r>
    </w:p>
    <w:p w:rsidR="00AE6E20" w:rsidRPr="00AE6E20" w:rsidRDefault="00AE6E20" w:rsidP="00AE6E20">
      <w:pPr>
        <w:jc w:val="both"/>
        <w:rPr>
          <w:rFonts w:ascii="Arial" w:hAnsi="Arial" w:cs="Arial"/>
          <w:sz w:val="20"/>
          <w:szCs w:val="20"/>
        </w:rPr>
      </w:pPr>
      <w:r w:rsidRPr="00AE6E20">
        <w:rPr>
          <w:rFonts w:ascii="Arial" w:hAnsi="Arial" w:cs="Arial"/>
          <w:b/>
          <w:sz w:val="20"/>
          <w:szCs w:val="20"/>
        </w:rPr>
        <w:t>1.1. Przedmiot ST</w:t>
      </w:r>
      <w:r w:rsidRPr="00AE6E20">
        <w:rPr>
          <w:rFonts w:ascii="Arial" w:hAnsi="Arial" w:cs="Arial"/>
          <w:sz w:val="20"/>
          <w:szCs w:val="20"/>
        </w:rPr>
        <w:t xml:space="preserve"> </w:t>
      </w:r>
      <w:bookmarkEnd w:id="2"/>
    </w:p>
    <w:p w:rsidR="00AE6E20" w:rsidRPr="00AE6E20" w:rsidRDefault="00B57AD2" w:rsidP="00AE6E20">
      <w:pPr>
        <w:jc w:val="both"/>
        <w:rPr>
          <w:rFonts w:ascii="Arial" w:hAnsi="Arial" w:cs="Arial"/>
          <w:sz w:val="20"/>
          <w:szCs w:val="20"/>
        </w:rPr>
      </w:pPr>
      <w:r w:rsidRPr="00C766C7">
        <w:rPr>
          <w:rFonts w:ascii="Arial" w:hAnsi="Arial" w:cs="Arial"/>
          <w:sz w:val="20"/>
          <w:szCs w:val="20"/>
        </w:rPr>
        <w:t>Specyfikacja dotyczy wykonania czynności podstawowych i dodatkowych, mających na celu wykonanie systemu tynków trasowych, cechujących się dyfuzyjnością. Specyfikacja uwzględnia zastosowanie następujących materiałów:</w:t>
      </w:r>
      <w:r w:rsidR="00AE6E20">
        <w:rPr>
          <w:rFonts w:ascii="Arial" w:hAnsi="Arial" w:cs="Arial"/>
          <w:sz w:val="20"/>
          <w:szCs w:val="20"/>
        </w:rPr>
        <w:t xml:space="preserve"> </w:t>
      </w:r>
      <w:r w:rsidRPr="00C766C7">
        <w:rPr>
          <w:rFonts w:ascii="Arial" w:hAnsi="Arial" w:cs="Arial"/>
          <w:sz w:val="20"/>
          <w:szCs w:val="20"/>
        </w:rPr>
        <w:t>obrzu</w:t>
      </w:r>
      <w:r w:rsidR="00AE6E20">
        <w:rPr>
          <w:rFonts w:ascii="Arial" w:hAnsi="Arial" w:cs="Arial"/>
          <w:sz w:val="20"/>
          <w:szCs w:val="20"/>
        </w:rPr>
        <w:t xml:space="preserve">tka poprawiająca przyczepność, </w:t>
      </w:r>
      <w:r w:rsidRPr="00C766C7">
        <w:rPr>
          <w:rFonts w:ascii="Arial" w:hAnsi="Arial" w:cs="Arial"/>
          <w:sz w:val="20"/>
          <w:szCs w:val="20"/>
        </w:rPr>
        <w:t>tynk wapienny</w:t>
      </w:r>
      <w:r w:rsidR="00AE6E20">
        <w:rPr>
          <w:rFonts w:ascii="Arial" w:hAnsi="Arial" w:cs="Arial"/>
          <w:sz w:val="20"/>
          <w:szCs w:val="20"/>
        </w:rPr>
        <w:t>.</w:t>
      </w:r>
    </w:p>
    <w:p w:rsidR="0057164E" w:rsidRDefault="00AE6E20" w:rsidP="00AE6E20">
      <w:pPr>
        <w:spacing w:line="240" w:lineRule="auto"/>
        <w:jc w:val="both"/>
        <w:rPr>
          <w:rFonts w:ascii="Arial" w:hAnsi="Arial" w:cs="Arial"/>
          <w:sz w:val="20"/>
          <w:szCs w:val="20"/>
        </w:rPr>
      </w:pPr>
      <w:bookmarkStart w:id="3" w:name="_Hlk492546191"/>
      <w:r w:rsidRPr="00AE6E20">
        <w:rPr>
          <w:rFonts w:ascii="Arial" w:hAnsi="Arial" w:cs="Arial"/>
          <w:b/>
          <w:sz w:val="20"/>
          <w:szCs w:val="20"/>
        </w:rPr>
        <w:t>1.2. Zakres stosowania ST</w:t>
      </w:r>
    </w:p>
    <w:p w:rsidR="00AE6E20" w:rsidRPr="00AE6E20" w:rsidRDefault="00AE6E20" w:rsidP="00AE6E20">
      <w:pPr>
        <w:spacing w:line="240" w:lineRule="auto"/>
        <w:jc w:val="both"/>
        <w:rPr>
          <w:rFonts w:ascii="Arial" w:hAnsi="Arial" w:cs="Arial"/>
          <w:sz w:val="20"/>
          <w:szCs w:val="20"/>
        </w:rPr>
      </w:pPr>
      <w:r w:rsidRPr="00AE6E20">
        <w:rPr>
          <w:rFonts w:ascii="Arial" w:hAnsi="Arial" w:cs="Arial"/>
          <w:sz w:val="20"/>
          <w:szCs w:val="20"/>
        </w:rPr>
        <w:t>Specyfikacja techniczna jest stosowana jako dokument przy realizacj</w:t>
      </w:r>
      <w:r>
        <w:rPr>
          <w:rFonts w:ascii="Arial" w:hAnsi="Arial" w:cs="Arial"/>
          <w:sz w:val="20"/>
          <w:szCs w:val="20"/>
        </w:rPr>
        <w:t>i robót wymienionych w pkt.1.1.</w:t>
      </w:r>
    </w:p>
    <w:p w:rsidR="00AE6E20" w:rsidRPr="00AE6E20" w:rsidRDefault="00AE6E20" w:rsidP="00AE6E20">
      <w:pPr>
        <w:spacing w:line="240" w:lineRule="auto"/>
        <w:jc w:val="both"/>
        <w:rPr>
          <w:rFonts w:ascii="Arial" w:hAnsi="Arial" w:cs="Arial"/>
          <w:b/>
          <w:sz w:val="20"/>
          <w:szCs w:val="20"/>
        </w:rPr>
      </w:pPr>
      <w:r w:rsidRPr="00AE6E20">
        <w:rPr>
          <w:rFonts w:ascii="Arial" w:hAnsi="Arial" w:cs="Arial"/>
          <w:b/>
          <w:sz w:val="20"/>
          <w:szCs w:val="20"/>
        </w:rPr>
        <w:t>1.3. Zakres robót objętych ST</w:t>
      </w:r>
    </w:p>
    <w:p w:rsidR="00AE6E20" w:rsidRPr="00AE6E20" w:rsidRDefault="00AE6E20" w:rsidP="00AE6E20">
      <w:pPr>
        <w:spacing w:line="240" w:lineRule="auto"/>
        <w:jc w:val="both"/>
        <w:rPr>
          <w:rFonts w:ascii="Arial" w:hAnsi="Arial" w:cs="Arial"/>
          <w:sz w:val="20"/>
          <w:szCs w:val="20"/>
        </w:rPr>
      </w:pPr>
      <w:r w:rsidRPr="00AE6E20">
        <w:rPr>
          <w:rFonts w:ascii="Arial" w:hAnsi="Arial" w:cs="Arial"/>
          <w:sz w:val="20"/>
          <w:szCs w:val="20"/>
        </w:rPr>
        <w:t xml:space="preserve">Roboty, których dotyczy specyfikacja, obejmują wszystkie czynności umożliwiające i mające na celu naprawy skorodowanej cegły.  </w:t>
      </w:r>
    </w:p>
    <w:bookmarkEnd w:id="3"/>
    <w:p w:rsidR="00AE6E20" w:rsidRPr="00AE6E20" w:rsidRDefault="00AE6E20" w:rsidP="00AE6E20">
      <w:pPr>
        <w:spacing w:before="20" w:after="40" w:line="240" w:lineRule="exact"/>
        <w:jc w:val="both"/>
        <w:rPr>
          <w:rFonts w:ascii="Arial" w:hAnsi="Arial" w:cs="Arial"/>
          <w:b/>
          <w:bCs/>
          <w:sz w:val="20"/>
          <w:szCs w:val="20"/>
        </w:rPr>
      </w:pPr>
      <w:r w:rsidRPr="00AE6E20">
        <w:rPr>
          <w:rFonts w:ascii="Arial" w:hAnsi="Arial" w:cs="Arial"/>
          <w:b/>
          <w:bCs/>
          <w:sz w:val="20"/>
          <w:szCs w:val="20"/>
        </w:rPr>
        <w:t>1.4 Określenia podstawowe, definicje</w:t>
      </w:r>
    </w:p>
    <w:p w:rsidR="00B57AD2" w:rsidRPr="00C766C7" w:rsidRDefault="00B57AD2" w:rsidP="00B57AD2">
      <w:pPr>
        <w:pStyle w:val="Bezodstpw"/>
        <w:rPr>
          <w:rFonts w:ascii="Arial" w:hAnsi="Arial" w:cs="Arial"/>
          <w:color w:val="000000"/>
          <w:sz w:val="20"/>
          <w:szCs w:val="20"/>
        </w:rPr>
      </w:pPr>
      <w:r w:rsidRPr="00AE6E20">
        <w:rPr>
          <w:rFonts w:ascii="Arial" w:hAnsi="Arial" w:cs="Arial"/>
          <w:b/>
          <w:color w:val="000000"/>
          <w:sz w:val="20"/>
          <w:szCs w:val="20"/>
        </w:rPr>
        <w:t>Podłoże</w:t>
      </w:r>
      <w:r w:rsidRPr="00C766C7">
        <w:rPr>
          <w:rFonts w:ascii="Arial" w:hAnsi="Arial" w:cs="Arial"/>
          <w:color w:val="000000"/>
          <w:sz w:val="20"/>
          <w:szCs w:val="20"/>
        </w:rPr>
        <w:t xml:space="preserve"> – przegroda (ściana, mur), na której ma być wykonany system tynków renowacyjnych </w:t>
      </w:r>
    </w:p>
    <w:p w:rsidR="00B57AD2" w:rsidRPr="00C766C7" w:rsidRDefault="00B57AD2" w:rsidP="00B57AD2">
      <w:pPr>
        <w:pStyle w:val="Bezodstpw"/>
        <w:rPr>
          <w:rFonts w:ascii="Arial" w:hAnsi="Arial" w:cs="Arial"/>
          <w:sz w:val="20"/>
          <w:szCs w:val="20"/>
        </w:rPr>
      </w:pPr>
      <w:r w:rsidRPr="00AE6E20">
        <w:rPr>
          <w:rFonts w:ascii="Arial" w:hAnsi="Arial" w:cs="Arial"/>
          <w:b/>
          <w:sz w:val="20"/>
          <w:szCs w:val="20"/>
        </w:rPr>
        <w:t>Obrzutka</w:t>
      </w:r>
      <w:r w:rsidRPr="00C766C7">
        <w:rPr>
          <w:rFonts w:ascii="Arial" w:hAnsi="Arial" w:cs="Arial"/>
          <w:sz w:val="20"/>
          <w:szCs w:val="20"/>
        </w:rPr>
        <w:t xml:space="preserve"> – warstwa systemowej zaprawy nakładana na podłoże w celu poprawienia przyczepności kolejnych warstw systemu tynków renowacyjnych (tynku podkładowego lub tynku renowacyjnego)</w:t>
      </w:r>
    </w:p>
    <w:p w:rsidR="00B57AD2" w:rsidRPr="00C766C7" w:rsidRDefault="00B57AD2" w:rsidP="00B57AD2">
      <w:pPr>
        <w:pStyle w:val="Bezodstpw"/>
        <w:rPr>
          <w:rFonts w:ascii="Arial" w:hAnsi="Arial" w:cs="Arial"/>
          <w:sz w:val="20"/>
          <w:szCs w:val="20"/>
        </w:rPr>
      </w:pPr>
      <w:r w:rsidRPr="004E26DE">
        <w:rPr>
          <w:rFonts w:ascii="Arial" w:hAnsi="Arial" w:cs="Arial"/>
          <w:b/>
          <w:sz w:val="20"/>
          <w:szCs w:val="20"/>
        </w:rPr>
        <w:t>tynk trasowy</w:t>
      </w:r>
      <w:r w:rsidRPr="00C766C7">
        <w:rPr>
          <w:rFonts w:ascii="Arial" w:hAnsi="Arial" w:cs="Arial"/>
          <w:sz w:val="20"/>
          <w:szCs w:val="20"/>
        </w:rPr>
        <w:t xml:space="preserve"> - sucha (fabrycznie przygotowana) mieszanka zaprawy tynkarskiej, po związaniu porowata, dyfuzyjna. </w:t>
      </w:r>
    </w:p>
    <w:p w:rsidR="00B57AD2" w:rsidRPr="00C766C7" w:rsidRDefault="00B57AD2" w:rsidP="00B57AD2">
      <w:pPr>
        <w:pStyle w:val="Bezodstpw"/>
        <w:rPr>
          <w:rFonts w:ascii="Arial" w:hAnsi="Arial" w:cs="Arial"/>
          <w:sz w:val="20"/>
          <w:szCs w:val="20"/>
        </w:rPr>
      </w:pPr>
    </w:p>
    <w:p w:rsidR="00B57AD2" w:rsidRPr="00AE6E20" w:rsidRDefault="00B57AD2" w:rsidP="00AE6E20">
      <w:pPr>
        <w:pStyle w:val="Bezodstpw"/>
        <w:numPr>
          <w:ilvl w:val="0"/>
          <w:numId w:val="1"/>
        </w:numPr>
        <w:rPr>
          <w:rFonts w:ascii="Arial" w:hAnsi="Arial" w:cs="Arial"/>
          <w:b/>
          <w:sz w:val="20"/>
          <w:szCs w:val="20"/>
          <w:u w:val="single"/>
        </w:rPr>
      </w:pPr>
      <w:r w:rsidRPr="00AE6E20">
        <w:rPr>
          <w:rFonts w:ascii="Arial" w:hAnsi="Arial" w:cs="Arial"/>
          <w:b/>
          <w:sz w:val="20"/>
          <w:szCs w:val="20"/>
          <w:u w:val="single"/>
        </w:rPr>
        <w:t xml:space="preserve">WYMAGANIA DOTYCZĄCE WŁAŚCIWOŚCI MATERIAŁÓW </w:t>
      </w:r>
    </w:p>
    <w:p w:rsidR="00B57AD2" w:rsidRPr="00AE6E20" w:rsidRDefault="00B57AD2" w:rsidP="0057164E">
      <w:pPr>
        <w:pStyle w:val="Bezodstpw"/>
        <w:numPr>
          <w:ilvl w:val="0"/>
          <w:numId w:val="6"/>
        </w:numPr>
        <w:rPr>
          <w:rStyle w:val="FontStyle21"/>
          <w:b w:val="0"/>
          <w:sz w:val="20"/>
          <w:szCs w:val="20"/>
        </w:rPr>
      </w:pPr>
      <w:r w:rsidRPr="00AE6E20">
        <w:rPr>
          <w:rStyle w:val="FontStyle21"/>
          <w:sz w:val="20"/>
          <w:szCs w:val="20"/>
        </w:rPr>
        <w:t>Mineralna obrzutka</w:t>
      </w:r>
      <w:r w:rsidRPr="00AE6E20">
        <w:rPr>
          <w:rStyle w:val="FontStyle21"/>
          <w:b w:val="0"/>
          <w:sz w:val="20"/>
          <w:szCs w:val="20"/>
        </w:rPr>
        <w:t xml:space="preserve"> (warstwą sczepną) pod system tynków renowacyjnych. Może być stosowana na każdym typowym podłożu mineralnym.  </w:t>
      </w:r>
    </w:p>
    <w:p w:rsidR="00B57AD2" w:rsidRPr="00AE6E20" w:rsidRDefault="00B57AD2" w:rsidP="00B57AD2">
      <w:pPr>
        <w:pStyle w:val="Bezodstpw"/>
        <w:rPr>
          <w:rStyle w:val="FontStyle21"/>
          <w:b w:val="0"/>
          <w:sz w:val="20"/>
          <w:szCs w:val="20"/>
        </w:rPr>
      </w:pPr>
    </w:p>
    <w:p w:rsidR="00B57AD2" w:rsidRPr="00AE6E20" w:rsidRDefault="00B57AD2" w:rsidP="0057164E">
      <w:pPr>
        <w:pStyle w:val="Bezodstpw"/>
        <w:numPr>
          <w:ilvl w:val="0"/>
          <w:numId w:val="6"/>
        </w:numPr>
        <w:rPr>
          <w:rStyle w:val="FontStyle21"/>
          <w:sz w:val="20"/>
          <w:szCs w:val="20"/>
        </w:rPr>
      </w:pPr>
      <w:r w:rsidRPr="00AE6E20">
        <w:rPr>
          <w:rStyle w:val="FontStyle21"/>
          <w:sz w:val="20"/>
          <w:szCs w:val="20"/>
        </w:rPr>
        <w:t>Właściwości produktu:</w:t>
      </w:r>
    </w:p>
    <w:p w:rsidR="00B57AD2" w:rsidRPr="00AE6E20" w:rsidRDefault="00B57AD2" w:rsidP="00B57AD2">
      <w:pPr>
        <w:pStyle w:val="Bezodstpw"/>
        <w:rPr>
          <w:rStyle w:val="FontStyle14"/>
          <w:b w:val="0"/>
          <w:bCs w:val="0"/>
          <w:sz w:val="20"/>
          <w:szCs w:val="20"/>
        </w:rPr>
      </w:pPr>
      <w:r w:rsidRPr="00AE6E20">
        <w:rPr>
          <w:rStyle w:val="FontStyle16"/>
          <w:sz w:val="20"/>
          <w:szCs w:val="20"/>
        </w:rPr>
        <w:t>gwarantuje pewne łączenie między tynkiem i podłożem</w:t>
      </w:r>
      <w:r w:rsidRPr="00AE6E20">
        <w:rPr>
          <w:rStyle w:val="FontStyle14"/>
          <w:sz w:val="20"/>
          <w:szCs w:val="20"/>
        </w:rPr>
        <w:t xml:space="preserve"> </w:t>
      </w:r>
    </w:p>
    <w:p w:rsidR="00B57AD2" w:rsidRPr="00AE6E20" w:rsidRDefault="00B57AD2" w:rsidP="00B57AD2">
      <w:pPr>
        <w:pStyle w:val="Bezodstpw"/>
        <w:rPr>
          <w:rStyle w:val="FontStyle22"/>
          <w:sz w:val="20"/>
          <w:szCs w:val="20"/>
        </w:rPr>
      </w:pPr>
      <w:r w:rsidRPr="00AE6E20">
        <w:rPr>
          <w:rStyle w:val="FontStyle22"/>
          <w:sz w:val="20"/>
          <w:szCs w:val="20"/>
        </w:rPr>
        <w:t>możliwość nakładania ręcznego i natryskowego.</w:t>
      </w:r>
    </w:p>
    <w:p w:rsidR="00B57AD2" w:rsidRPr="00AE6E20" w:rsidRDefault="00B57AD2" w:rsidP="00B57AD2">
      <w:pPr>
        <w:pStyle w:val="Bezodstpw"/>
        <w:rPr>
          <w:rFonts w:ascii="Arial" w:hAnsi="Arial" w:cs="Arial"/>
          <w:sz w:val="20"/>
          <w:szCs w:val="20"/>
        </w:rPr>
      </w:pPr>
    </w:p>
    <w:p w:rsidR="00B57AD2" w:rsidRPr="00AE6E20" w:rsidRDefault="00B57AD2" w:rsidP="0057164E">
      <w:pPr>
        <w:pStyle w:val="Bezodstpw"/>
        <w:numPr>
          <w:ilvl w:val="0"/>
          <w:numId w:val="6"/>
        </w:numPr>
        <w:rPr>
          <w:rStyle w:val="FontStyle21"/>
          <w:sz w:val="20"/>
          <w:szCs w:val="20"/>
        </w:rPr>
      </w:pPr>
      <w:r w:rsidRPr="00AE6E20">
        <w:rPr>
          <w:rStyle w:val="FontStyle21"/>
          <w:sz w:val="20"/>
          <w:szCs w:val="20"/>
        </w:rPr>
        <w:t xml:space="preserve">Tynk wapienny </w:t>
      </w:r>
    </w:p>
    <w:p w:rsidR="00B57AD2" w:rsidRPr="00AE6E20" w:rsidRDefault="00B57AD2" w:rsidP="00B57AD2">
      <w:pPr>
        <w:pStyle w:val="Bezodstpw"/>
        <w:rPr>
          <w:rStyle w:val="FontStyle21"/>
          <w:b w:val="0"/>
          <w:sz w:val="20"/>
          <w:szCs w:val="20"/>
        </w:rPr>
      </w:pPr>
      <w:r w:rsidRPr="00AE6E20">
        <w:rPr>
          <w:rStyle w:val="FontStyle21"/>
          <w:b w:val="0"/>
          <w:sz w:val="20"/>
          <w:szCs w:val="20"/>
        </w:rPr>
        <w:t>Właściwości produktu:</w:t>
      </w:r>
    </w:p>
    <w:p w:rsidR="00B57AD2" w:rsidRPr="00AE6E20" w:rsidRDefault="00B57AD2" w:rsidP="00B57AD2">
      <w:pPr>
        <w:pStyle w:val="Bezodstpw"/>
        <w:rPr>
          <w:rStyle w:val="FontStyle21"/>
          <w:b w:val="0"/>
          <w:sz w:val="20"/>
          <w:szCs w:val="20"/>
        </w:rPr>
      </w:pPr>
      <w:r w:rsidRPr="00AE6E20">
        <w:rPr>
          <w:rStyle w:val="FontStyle21"/>
          <w:b w:val="0"/>
          <w:sz w:val="20"/>
          <w:szCs w:val="20"/>
        </w:rPr>
        <w:t>• otwarty na dyfuzję pary wodnej</w:t>
      </w:r>
    </w:p>
    <w:p w:rsidR="00B57AD2" w:rsidRPr="00AE6E20" w:rsidRDefault="00B57AD2" w:rsidP="00B57AD2">
      <w:pPr>
        <w:pStyle w:val="Bezodstpw"/>
        <w:rPr>
          <w:rStyle w:val="FontStyle21"/>
          <w:b w:val="0"/>
          <w:sz w:val="20"/>
          <w:szCs w:val="20"/>
        </w:rPr>
      </w:pPr>
      <w:r w:rsidRPr="00AE6E20">
        <w:rPr>
          <w:rStyle w:val="FontStyle21"/>
          <w:b w:val="0"/>
          <w:sz w:val="20"/>
          <w:szCs w:val="20"/>
        </w:rPr>
        <w:t>• łatwa urabialność, możliwość aplikacji jednowarstwowej w dwóch przejściach roboczych</w:t>
      </w:r>
    </w:p>
    <w:p w:rsidR="00B57AD2" w:rsidRPr="00AE6E20" w:rsidRDefault="00B57AD2" w:rsidP="00B57AD2">
      <w:pPr>
        <w:pStyle w:val="Bezodstpw"/>
        <w:rPr>
          <w:rStyle w:val="FontStyle21"/>
          <w:b w:val="0"/>
          <w:sz w:val="20"/>
          <w:szCs w:val="20"/>
        </w:rPr>
      </w:pPr>
      <w:r w:rsidRPr="00AE6E20">
        <w:rPr>
          <w:rStyle w:val="FontStyle21"/>
          <w:b w:val="0"/>
          <w:sz w:val="20"/>
          <w:szCs w:val="20"/>
        </w:rPr>
        <w:t>• łatwa aplikacji za pomocą dostępnych agregatów tynkarskich</w:t>
      </w:r>
    </w:p>
    <w:p w:rsidR="00B57AD2" w:rsidRPr="00AE6E20" w:rsidRDefault="00B57AD2" w:rsidP="00B57AD2">
      <w:pPr>
        <w:pStyle w:val="Bezodstpw"/>
        <w:rPr>
          <w:rStyle w:val="FontStyle21"/>
          <w:b w:val="0"/>
          <w:sz w:val="20"/>
          <w:szCs w:val="20"/>
        </w:rPr>
      </w:pPr>
      <w:r w:rsidRPr="00AE6E20">
        <w:rPr>
          <w:rStyle w:val="FontStyle21"/>
          <w:b w:val="0"/>
          <w:sz w:val="20"/>
          <w:szCs w:val="20"/>
        </w:rPr>
        <w:t>• możliwość filcowania powierzchni</w:t>
      </w:r>
    </w:p>
    <w:p w:rsidR="00B57AD2" w:rsidRPr="00AE6E20" w:rsidRDefault="00B57AD2" w:rsidP="00B57AD2">
      <w:pPr>
        <w:pStyle w:val="Bezodstpw"/>
        <w:rPr>
          <w:rStyle w:val="FontStyle21"/>
          <w:b w:val="0"/>
          <w:sz w:val="20"/>
          <w:szCs w:val="20"/>
        </w:rPr>
      </w:pPr>
      <w:r w:rsidRPr="00AE6E20">
        <w:rPr>
          <w:rStyle w:val="FontStyle21"/>
          <w:b w:val="0"/>
          <w:sz w:val="20"/>
          <w:szCs w:val="20"/>
        </w:rPr>
        <w:t>• klasa zaprawy MG P I</w:t>
      </w:r>
    </w:p>
    <w:p w:rsidR="00B57AD2" w:rsidRPr="00AE6E20" w:rsidRDefault="00B57AD2" w:rsidP="00B57AD2">
      <w:pPr>
        <w:pStyle w:val="Bezodstpw"/>
        <w:rPr>
          <w:rStyle w:val="FontStyle21"/>
          <w:sz w:val="20"/>
          <w:szCs w:val="20"/>
        </w:rPr>
      </w:pPr>
      <w:r w:rsidRPr="00AE6E20">
        <w:rPr>
          <w:rStyle w:val="FontStyle21"/>
          <w:b w:val="0"/>
          <w:sz w:val="20"/>
          <w:szCs w:val="20"/>
        </w:rPr>
        <w:t xml:space="preserve"> </w:t>
      </w:r>
    </w:p>
    <w:p w:rsidR="00B57AD2" w:rsidRPr="00AE6E20" w:rsidRDefault="00B57AD2" w:rsidP="0057164E">
      <w:pPr>
        <w:pStyle w:val="Bezodstpw"/>
        <w:numPr>
          <w:ilvl w:val="0"/>
          <w:numId w:val="6"/>
        </w:numPr>
        <w:rPr>
          <w:rStyle w:val="FontStyle21"/>
          <w:sz w:val="20"/>
          <w:szCs w:val="20"/>
        </w:rPr>
      </w:pPr>
      <w:r w:rsidRPr="00AE6E20">
        <w:rPr>
          <w:rStyle w:val="FontStyle21"/>
          <w:sz w:val="20"/>
          <w:szCs w:val="20"/>
        </w:rPr>
        <w:t>Zastosowanie produktu:</w:t>
      </w:r>
    </w:p>
    <w:p w:rsidR="00B57AD2" w:rsidRPr="00C766C7" w:rsidRDefault="00B57AD2" w:rsidP="00B57AD2">
      <w:pPr>
        <w:pStyle w:val="Bezodstpw"/>
        <w:rPr>
          <w:rStyle w:val="FontStyle21"/>
          <w:b w:val="0"/>
          <w:sz w:val="20"/>
          <w:szCs w:val="20"/>
        </w:rPr>
      </w:pPr>
      <w:r w:rsidRPr="00C766C7">
        <w:rPr>
          <w:rStyle w:val="FontStyle21"/>
          <w:b w:val="0"/>
          <w:sz w:val="20"/>
          <w:szCs w:val="20"/>
        </w:rPr>
        <w:t>• jako tynk podkładowy oraz wierzchni wewnątrz oraz na zewnątrz pomieszczeń</w:t>
      </w:r>
    </w:p>
    <w:p w:rsidR="00B57AD2" w:rsidRPr="00C766C7" w:rsidRDefault="00B57AD2" w:rsidP="00B57AD2">
      <w:pPr>
        <w:pStyle w:val="Bezodstpw"/>
        <w:rPr>
          <w:rStyle w:val="FontStyle21"/>
          <w:b w:val="0"/>
          <w:sz w:val="20"/>
          <w:szCs w:val="20"/>
        </w:rPr>
      </w:pPr>
      <w:r w:rsidRPr="00C766C7">
        <w:rPr>
          <w:rStyle w:val="FontStyle21"/>
          <w:b w:val="0"/>
          <w:sz w:val="20"/>
          <w:szCs w:val="20"/>
        </w:rPr>
        <w:t>• stosowany w nowym i starym budownictwie, jak również renowacji zabytków</w:t>
      </w:r>
    </w:p>
    <w:p w:rsidR="00B57AD2" w:rsidRPr="00C766C7" w:rsidRDefault="00B57AD2" w:rsidP="00B57AD2">
      <w:pPr>
        <w:pStyle w:val="Bezodstpw"/>
        <w:rPr>
          <w:rStyle w:val="FontStyle21"/>
          <w:b w:val="0"/>
          <w:sz w:val="20"/>
          <w:szCs w:val="20"/>
        </w:rPr>
      </w:pPr>
      <w:r w:rsidRPr="00C766C7">
        <w:rPr>
          <w:rStyle w:val="FontStyle21"/>
          <w:b w:val="0"/>
          <w:sz w:val="20"/>
          <w:szCs w:val="20"/>
        </w:rPr>
        <w:t>• poprawia mikroklimat wewnątrz pomieszczeń</w:t>
      </w:r>
    </w:p>
    <w:p w:rsidR="00B57AD2" w:rsidRPr="00C766C7" w:rsidRDefault="00B57AD2" w:rsidP="00B57AD2">
      <w:pPr>
        <w:pStyle w:val="Bezodstpw"/>
        <w:rPr>
          <w:rStyle w:val="FontStyle21"/>
          <w:b w:val="0"/>
          <w:sz w:val="20"/>
          <w:szCs w:val="20"/>
        </w:rPr>
      </w:pPr>
      <w:r w:rsidRPr="00C766C7">
        <w:rPr>
          <w:rStyle w:val="FontStyle21"/>
          <w:b w:val="0"/>
          <w:sz w:val="20"/>
          <w:szCs w:val="20"/>
        </w:rPr>
        <w:t>• do różnego rodzaju murów, ścian oraz stropów</w:t>
      </w:r>
    </w:p>
    <w:p w:rsidR="00B57AD2" w:rsidRPr="00C766C7" w:rsidRDefault="00B57AD2" w:rsidP="00B57AD2">
      <w:pPr>
        <w:pStyle w:val="Bezodstpw"/>
        <w:rPr>
          <w:rStyle w:val="FontStyle21"/>
          <w:b w:val="0"/>
          <w:sz w:val="20"/>
          <w:szCs w:val="20"/>
        </w:rPr>
      </w:pPr>
    </w:p>
    <w:p w:rsidR="00B57AD2" w:rsidRPr="00C766C7" w:rsidRDefault="00B57AD2" w:rsidP="0057164E">
      <w:pPr>
        <w:pStyle w:val="Bezodstpw"/>
        <w:numPr>
          <w:ilvl w:val="0"/>
          <w:numId w:val="6"/>
        </w:numPr>
        <w:rPr>
          <w:rStyle w:val="FontStyle21"/>
          <w:sz w:val="20"/>
          <w:szCs w:val="20"/>
        </w:rPr>
      </w:pPr>
      <w:r w:rsidRPr="00C766C7">
        <w:rPr>
          <w:rStyle w:val="FontStyle21"/>
          <w:sz w:val="20"/>
          <w:szCs w:val="20"/>
        </w:rPr>
        <w:t>Dane techniczno-użytkowe produktu</w:t>
      </w:r>
    </w:p>
    <w:p w:rsidR="00B57AD2" w:rsidRPr="00C766C7" w:rsidRDefault="00B57AD2" w:rsidP="00B57AD2">
      <w:pPr>
        <w:pStyle w:val="Bezodstpw"/>
        <w:rPr>
          <w:rStyle w:val="FontStyle21"/>
          <w:b w:val="0"/>
          <w:sz w:val="20"/>
          <w:szCs w:val="20"/>
        </w:rPr>
      </w:pPr>
      <w:r w:rsidRPr="00C766C7">
        <w:rPr>
          <w:rStyle w:val="FontStyle21"/>
          <w:b w:val="0"/>
          <w:sz w:val="20"/>
          <w:szCs w:val="20"/>
        </w:rPr>
        <w:t>Gęstość g/m² ok. 14 przy gr. warstwy 10 mm</w:t>
      </w:r>
    </w:p>
    <w:p w:rsidR="00B57AD2" w:rsidRPr="00C766C7" w:rsidRDefault="00B57AD2" w:rsidP="00B57AD2">
      <w:pPr>
        <w:pStyle w:val="Bezodstpw"/>
        <w:rPr>
          <w:rStyle w:val="FontStyle21"/>
          <w:b w:val="0"/>
          <w:sz w:val="20"/>
          <w:szCs w:val="20"/>
        </w:rPr>
      </w:pPr>
      <w:r w:rsidRPr="00C766C7">
        <w:rPr>
          <w:rStyle w:val="FontStyle21"/>
          <w:b w:val="0"/>
          <w:sz w:val="20"/>
          <w:szCs w:val="20"/>
        </w:rPr>
        <w:t>Proporcje mieszania kg : l ok. 30 : 7 : woda</w:t>
      </w:r>
    </w:p>
    <w:p w:rsidR="00B57AD2" w:rsidRPr="00C766C7" w:rsidRDefault="00B57AD2" w:rsidP="00B57AD2">
      <w:pPr>
        <w:pStyle w:val="Bezodstpw"/>
        <w:rPr>
          <w:rStyle w:val="FontStyle21"/>
          <w:b w:val="0"/>
          <w:sz w:val="20"/>
          <w:szCs w:val="20"/>
        </w:rPr>
      </w:pPr>
      <w:r w:rsidRPr="00C766C7">
        <w:rPr>
          <w:rStyle w:val="FontStyle21"/>
          <w:b w:val="0"/>
          <w:sz w:val="20"/>
          <w:szCs w:val="20"/>
        </w:rPr>
        <w:t>Czas zachowania min. ok. 30 przy temp.+ 20°C oraz względnej</w:t>
      </w:r>
    </w:p>
    <w:p w:rsidR="00B57AD2" w:rsidRPr="00C766C7" w:rsidRDefault="00B57AD2" w:rsidP="00B57AD2">
      <w:pPr>
        <w:pStyle w:val="Bezodstpw"/>
        <w:rPr>
          <w:rStyle w:val="FontStyle21"/>
          <w:b w:val="0"/>
          <w:sz w:val="20"/>
          <w:szCs w:val="20"/>
        </w:rPr>
      </w:pPr>
      <w:r w:rsidRPr="00C766C7">
        <w:rPr>
          <w:rStyle w:val="FontStyle21"/>
          <w:b w:val="0"/>
          <w:sz w:val="20"/>
          <w:szCs w:val="20"/>
        </w:rPr>
        <w:t>właściwości roboczych wilgotności powietrza 65%</w:t>
      </w:r>
    </w:p>
    <w:p w:rsidR="00B57AD2" w:rsidRPr="00C766C7" w:rsidRDefault="00B57AD2" w:rsidP="00B57AD2">
      <w:pPr>
        <w:pStyle w:val="Bezodstpw"/>
        <w:rPr>
          <w:rStyle w:val="FontStyle21"/>
          <w:b w:val="0"/>
          <w:sz w:val="20"/>
          <w:szCs w:val="20"/>
        </w:rPr>
      </w:pPr>
      <w:r w:rsidRPr="00C766C7">
        <w:rPr>
          <w:rStyle w:val="FontStyle21"/>
          <w:b w:val="0"/>
          <w:sz w:val="20"/>
          <w:szCs w:val="20"/>
        </w:rPr>
        <w:t>Warunki podczas °C ≥+5 temp. powietrza oraz podłoża. Przed</w:t>
      </w:r>
    </w:p>
    <w:p w:rsidR="00B57AD2" w:rsidRPr="00C766C7" w:rsidRDefault="00B57AD2" w:rsidP="00B57AD2">
      <w:pPr>
        <w:pStyle w:val="Bezodstpw"/>
        <w:rPr>
          <w:rStyle w:val="FontStyle21"/>
          <w:b w:val="0"/>
          <w:sz w:val="20"/>
          <w:szCs w:val="20"/>
        </w:rPr>
      </w:pPr>
      <w:r w:rsidRPr="00C766C7">
        <w:rPr>
          <w:rStyle w:val="FontStyle21"/>
          <w:b w:val="0"/>
          <w:sz w:val="20"/>
          <w:szCs w:val="20"/>
        </w:rPr>
        <w:t>zastosowania użyciem produkt należy przechowywać</w:t>
      </w:r>
    </w:p>
    <w:p w:rsidR="00B57AD2" w:rsidRPr="00C766C7" w:rsidRDefault="00B57AD2" w:rsidP="00B57AD2">
      <w:pPr>
        <w:pStyle w:val="Bezodstpw"/>
        <w:rPr>
          <w:rStyle w:val="FontStyle21"/>
          <w:b w:val="0"/>
          <w:sz w:val="20"/>
          <w:szCs w:val="20"/>
        </w:rPr>
      </w:pPr>
      <w:r w:rsidRPr="00C766C7">
        <w:rPr>
          <w:rStyle w:val="FontStyle21"/>
          <w:b w:val="0"/>
          <w:sz w:val="20"/>
          <w:szCs w:val="20"/>
        </w:rPr>
        <w:t>przez minimum 24 h w temp. &gt; +5°C</w:t>
      </w:r>
    </w:p>
    <w:p w:rsidR="00B57AD2" w:rsidRPr="00C766C7" w:rsidRDefault="00B57AD2" w:rsidP="00B57AD2">
      <w:pPr>
        <w:pStyle w:val="Bezodstpw"/>
        <w:rPr>
          <w:rStyle w:val="FontStyle21"/>
          <w:b w:val="0"/>
          <w:sz w:val="20"/>
          <w:szCs w:val="20"/>
        </w:rPr>
      </w:pPr>
      <w:r w:rsidRPr="00C766C7">
        <w:rPr>
          <w:rStyle w:val="FontStyle21"/>
          <w:b w:val="0"/>
          <w:sz w:val="20"/>
          <w:szCs w:val="20"/>
        </w:rPr>
        <w:lastRenderedPageBreak/>
        <w:t>Wytrzymałość na MPa &gt;1</w:t>
      </w:r>
    </w:p>
    <w:p w:rsidR="00B57AD2" w:rsidRPr="00C766C7" w:rsidRDefault="00B57AD2" w:rsidP="00B57AD2">
      <w:pPr>
        <w:pStyle w:val="Bezodstpw"/>
        <w:rPr>
          <w:rStyle w:val="FontStyle21"/>
          <w:b w:val="0"/>
          <w:sz w:val="20"/>
          <w:szCs w:val="20"/>
        </w:rPr>
      </w:pPr>
      <w:r w:rsidRPr="00C766C7">
        <w:rPr>
          <w:rStyle w:val="FontStyle21"/>
          <w:b w:val="0"/>
          <w:sz w:val="20"/>
          <w:szCs w:val="20"/>
        </w:rPr>
        <w:t>rozciąganie przy zginaniu βBZ</w:t>
      </w:r>
    </w:p>
    <w:p w:rsidR="00B57AD2" w:rsidRPr="00C766C7" w:rsidRDefault="00B57AD2" w:rsidP="00B57AD2">
      <w:pPr>
        <w:pStyle w:val="Bezodstpw"/>
        <w:rPr>
          <w:rStyle w:val="FontStyle21"/>
          <w:b w:val="0"/>
          <w:sz w:val="20"/>
          <w:szCs w:val="20"/>
        </w:rPr>
      </w:pPr>
      <w:r w:rsidRPr="00C766C7">
        <w:rPr>
          <w:rStyle w:val="FontStyle21"/>
          <w:b w:val="0"/>
          <w:sz w:val="20"/>
          <w:szCs w:val="20"/>
        </w:rPr>
        <w:t>Uziarnienie mm 0-1</w:t>
      </w:r>
    </w:p>
    <w:p w:rsidR="00B57AD2" w:rsidRPr="00C766C7" w:rsidRDefault="00B57AD2" w:rsidP="00B57AD2">
      <w:pPr>
        <w:pStyle w:val="Bezodstpw"/>
        <w:rPr>
          <w:rStyle w:val="FontStyle21"/>
          <w:b w:val="0"/>
          <w:sz w:val="20"/>
          <w:szCs w:val="20"/>
        </w:rPr>
      </w:pPr>
    </w:p>
    <w:p w:rsidR="00B57AD2" w:rsidRPr="004E26DE" w:rsidRDefault="00B57AD2" w:rsidP="0057164E">
      <w:pPr>
        <w:pStyle w:val="Bezodstpw"/>
        <w:numPr>
          <w:ilvl w:val="0"/>
          <w:numId w:val="6"/>
        </w:numPr>
        <w:rPr>
          <w:rFonts w:ascii="Arial" w:hAnsi="Arial" w:cs="Arial"/>
          <w:b/>
          <w:color w:val="000000"/>
          <w:sz w:val="20"/>
          <w:szCs w:val="20"/>
        </w:rPr>
      </w:pPr>
      <w:r w:rsidRPr="004E26DE">
        <w:rPr>
          <w:rFonts w:ascii="Arial" w:hAnsi="Arial" w:cs="Arial"/>
          <w:b/>
          <w:color w:val="000000"/>
          <w:sz w:val="20"/>
          <w:szCs w:val="20"/>
        </w:rPr>
        <w:t>Powłoki malarskie:</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Aby zagwarantować działanie osuszające produktów należy stosować wyłącznie dyfuzyjne powłoki malarskie na bazie krzemianów.</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Wewnątrz: opór dyfuzyjny Sd &lt;0,01 m</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Absorpcja wody, spowodowana podciąganiem kapilarnym</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&lt; 0,1 kg/m²h½</w:t>
      </w:r>
    </w:p>
    <w:p w:rsidR="00B57AD2" w:rsidRPr="00C766C7" w:rsidRDefault="00B57AD2" w:rsidP="00B57AD2">
      <w:pPr>
        <w:pStyle w:val="Bezodstpw"/>
        <w:rPr>
          <w:rFonts w:ascii="Arial" w:hAnsi="Arial" w:cs="Arial"/>
          <w:sz w:val="20"/>
          <w:szCs w:val="20"/>
        </w:rPr>
      </w:pPr>
    </w:p>
    <w:p w:rsidR="00B57AD2" w:rsidRPr="004E26DE" w:rsidRDefault="00B57AD2" w:rsidP="0057164E">
      <w:pPr>
        <w:pStyle w:val="Bezodstpw"/>
        <w:numPr>
          <w:ilvl w:val="0"/>
          <w:numId w:val="6"/>
        </w:numPr>
        <w:rPr>
          <w:rFonts w:ascii="Arial" w:hAnsi="Arial" w:cs="Arial"/>
          <w:b/>
          <w:color w:val="000000"/>
          <w:sz w:val="20"/>
          <w:szCs w:val="20"/>
        </w:rPr>
      </w:pPr>
      <w:r w:rsidRPr="004E26DE">
        <w:rPr>
          <w:rFonts w:ascii="Arial" w:hAnsi="Arial" w:cs="Arial"/>
          <w:b/>
          <w:color w:val="000000"/>
          <w:sz w:val="20"/>
          <w:szCs w:val="20"/>
        </w:rPr>
        <w:t xml:space="preserve">Woda </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B57AD2" w:rsidRPr="004E26DE" w:rsidRDefault="00B57AD2" w:rsidP="00B57AD2">
      <w:pPr>
        <w:pStyle w:val="Bezodstpw"/>
        <w:rPr>
          <w:rFonts w:ascii="Arial" w:hAnsi="Arial" w:cs="Arial"/>
          <w:sz w:val="20"/>
          <w:szCs w:val="20"/>
          <w:u w:val="single"/>
        </w:rPr>
      </w:pPr>
    </w:p>
    <w:p w:rsidR="00B57AD2" w:rsidRPr="004E26DE" w:rsidRDefault="00B57AD2" w:rsidP="004E26DE">
      <w:pPr>
        <w:pStyle w:val="Bezodstpw"/>
        <w:numPr>
          <w:ilvl w:val="0"/>
          <w:numId w:val="1"/>
        </w:numPr>
        <w:rPr>
          <w:rFonts w:ascii="Arial" w:hAnsi="Arial" w:cs="Arial"/>
          <w:b/>
          <w:color w:val="000000"/>
          <w:sz w:val="20"/>
          <w:szCs w:val="20"/>
          <w:u w:val="single"/>
        </w:rPr>
      </w:pPr>
      <w:r w:rsidRPr="004E26DE">
        <w:rPr>
          <w:rFonts w:ascii="Arial" w:hAnsi="Arial" w:cs="Arial"/>
          <w:b/>
          <w:color w:val="000000"/>
          <w:sz w:val="20"/>
          <w:szCs w:val="20"/>
          <w:u w:val="single"/>
        </w:rPr>
        <w:t>SPRZĘT</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 xml:space="preserve">Wykonawca, do wykonywania prac iniekcyjnych powinien stosować następujący sprzęt i narzędzia: </w:t>
      </w:r>
    </w:p>
    <w:p w:rsidR="00B57AD2" w:rsidRPr="00C766C7" w:rsidRDefault="00B57AD2" w:rsidP="00B57AD2">
      <w:pPr>
        <w:pStyle w:val="Bezodstpw"/>
        <w:rPr>
          <w:rFonts w:ascii="Arial" w:hAnsi="Arial" w:cs="Arial"/>
          <w:spacing w:val="-4"/>
          <w:sz w:val="20"/>
          <w:szCs w:val="20"/>
        </w:rPr>
      </w:pPr>
      <w:r w:rsidRPr="00C766C7">
        <w:rPr>
          <w:rFonts w:ascii="Arial" w:hAnsi="Arial" w:cs="Arial"/>
          <w:sz w:val="20"/>
          <w:szCs w:val="20"/>
        </w:rPr>
        <w:t>−</w:t>
      </w:r>
      <w:r w:rsidRPr="00C766C7">
        <w:rPr>
          <w:rFonts w:ascii="Arial" w:hAnsi="Arial" w:cs="Arial"/>
          <w:sz w:val="20"/>
          <w:szCs w:val="20"/>
        </w:rPr>
        <w:tab/>
        <w:t xml:space="preserve">do usunięcia zmurszałych i/lub niestabilnych wypraw tynkarskich (malarskich, itp.) oraz oceny i przygotowania podłoża – </w:t>
      </w:r>
      <w:r w:rsidRPr="00C766C7">
        <w:rPr>
          <w:rFonts w:ascii="Arial" w:hAnsi="Arial" w:cs="Arial"/>
          <w:spacing w:val="-4"/>
          <w:sz w:val="20"/>
          <w:szCs w:val="20"/>
        </w:rPr>
        <w:t>młotki, młoty pneumatyczne, szczotki, szczotki druciane, szpachelki, urządzenia do mycia, wilgotnościomierze, higrometry, łaty, itp.</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 xml:space="preserve">do przygotowania zapraw - mieszarka (wiertarka) wolnoobrotowa z mieszadłem koszyczkowym, betoniarka przeciwbieżna, waga, </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do ręcznej aplikacji zapraw - zwykłe narzędzia tynkarskie (kielnia, paca)</w:t>
      </w:r>
    </w:p>
    <w:p w:rsidR="00B57AD2" w:rsidRDefault="00B57AD2" w:rsidP="00B57AD2">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do natryskowej aplikacji zapraw – typowe agregaty tynkarskie</w:t>
      </w:r>
    </w:p>
    <w:p w:rsidR="004E26DE" w:rsidRDefault="004E26DE" w:rsidP="00B57AD2">
      <w:pPr>
        <w:pStyle w:val="Bezodstpw"/>
        <w:rPr>
          <w:rFonts w:ascii="Arial" w:hAnsi="Arial" w:cs="Arial"/>
          <w:sz w:val="20"/>
          <w:szCs w:val="20"/>
        </w:rPr>
      </w:pPr>
    </w:p>
    <w:p w:rsidR="004E26DE" w:rsidRPr="004E26DE" w:rsidRDefault="004E26DE" w:rsidP="004E26DE">
      <w:pPr>
        <w:pStyle w:val="Akapitzlist"/>
        <w:numPr>
          <w:ilvl w:val="0"/>
          <w:numId w:val="1"/>
        </w:numPr>
        <w:spacing w:after="0" w:line="360" w:lineRule="auto"/>
        <w:jc w:val="both"/>
        <w:rPr>
          <w:rFonts w:ascii="Arial" w:hAnsi="Arial" w:cs="Arial"/>
          <w:b/>
          <w:sz w:val="20"/>
          <w:szCs w:val="20"/>
          <w:u w:val="single"/>
        </w:rPr>
      </w:pPr>
      <w:r w:rsidRPr="004E26DE">
        <w:rPr>
          <w:rFonts w:ascii="Arial" w:hAnsi="Arial" w:cs="Arial"/>
          <w:b/>
          <w:sz w:val="20"/>
          <w:szCs w:val="20"/>
          <w:u w:val="single"/>
        </w:rPr>
        <w:t>TRANSPORT I MAGAZYNOWANIE</w:t>
      </w:r>
    </w:p>
    <w:p w:rsidR="004E26DE" w:rsidRPr="004E26DE" w:rsidRDefault="004E26DE" w:rsidP="004E26DE">
      <w:pPr>
        <w:spacing w:after="0" w:line="240" w:lineRule="auto"/>
        <w:jc w:val="both"/>
        <w:rPr>
          <w:rFonts w:ascii="Arial" w:hAnsi="Arial" w:cs="Arial"/>
          <w:sz w:val="20"/>
          <w:szCs w:val="20"/>
        </w:rPr>
      </w:pPr>
      <w:r w:rsidRPr="004E26DE">
        <w:rPr>
          <w:rFonts w:ascii="Arial" w:hAnsi="Arial" w:cs="Arial"/>
          <w:sz w:val="20"/>
          <w:szCs w:val="20"/>
        </w:rPr>
        <w:t xml:space="preserve">Materiały do wykonania systemu tynków renowacyjnych pakowane są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4E26DE" w:rsidRPr="004E26DE" w:rsidRDefault="004E26DE" w:rsidP="004E26DE">
      <w:pPr>
        <w:spacing w:after="0" w:line="240" w:lineRule="auto"/>
        <w:jc w:val="both"/>
        <w:rPr>
          <w:rFonts w:ascii="Arial" w:hAnsi="Arial" w:cs="Arial"/>
          <w:spacing w:val="-4"/>
          <w:sz w:val="20"/>
          <w:szCs w:val="20"/>
        </w:rPr>
      </w:pPr>
      <w:r w:rsidRPr="004E26DE">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p>
    <w:p w:rsidR="004E26DE" w:rsidRPr="004E26DE" w:rsidRDefault="004E26DE" w:rsidP="004E26DE">
      <w:pPr>
        <w:widowControl w:val="0"/>
        <w:autoSpaceDE w:val="0"/>
        <w:autoSpaceDN w:val="0"/>
        <w:adjustRightInd w:val="0"/>
        <w:spacing w:after="0" w:line="240" w:lineRule="auto"/>
        <w:jc w:val="both"/>
        <w:rPr>
          <w:rFonts w:ascii="Arial" w:hAnsi="Arial" w:cs="Arial"/>
          <w:sz w:val="20"/>
          <w:szCs w:val="20"/>
        </w:rPr>
      </w:pPr>
      <w:r w:rsidRPr="004E26DE">
        <w:rPr>
          <w:rFonts w:ascii="Arial" w:hAnsi="Arial" w:cs="Arial"/>
          <w:sz w:val="20"/>
          <w:szCs w:val="20"/>
        </w:rPr>
        <w:t xml:space="preserve">Zaleca się korzystanie z dostępnej na miejscu wody wodociągowej (pitnej). Jeżeli nie istnieje możliwość poboru czystej wody na miejscu, należy ją dostarczać w szczelnych i czystych pojemnikach/cysternach. </w:t>
      </w:r>
    </w:p>
    <w:p w:rsidR="004E26DE" w:rsidRPr="002F1412" w:rsidRDefault="004E26DE" w:rsidP="004E26DE">
      <w:pPr>
        <w:pStyle w:val="CM26"/>
        <w:spacing w:after="0"/>
        <w:rPr>
          <w:sz w:val="20"/>
          <w:szCs w:val="20"/>
        </w:rPr>
      </w:pPr>
      <w:r w:rsidRPr="002F1412">
        <w:rPr>
          <w:sz w:val="20"/>
          <w:szCs w:val="20"/>
        </w:rPr>
        <w:t>Nie dopuszcza się do stosowania wody skażonej/zanieczyszczonej chemicznie lub biologicznie.</w:t>
      </w:r>
    </w:p>
    <w:p w:rsidR="00B57AD2" w:rsidRPr="00C766C7" w:rsidRDefault="00B57AD2" w:rsidP="00B57AD2">
      <w:pPr>
        <w:pStyle w:val="Bezodstpw"/>
        <w:rPr>
          <w:rFonts w:ascii="Arial" w:hAnsi="Arial" w:cs="Arial"/>
          <w:sz w:val="20"/>
          <w:szCs w:val="20"/>
        </w:rPr>
      </w:pPr>
    </w:p>
    <w:p w:rsidR="00B57AD2" w:rsidRPr="004E26DE" w:rsidRDefault="00B57AD2" w:rsidP="004E26DE">
      <w:pPr>
        <w:pStyle w:val="Bezodstpw"/>
        <w:numPr>
          <w:ilvl w:val="0"/>
          <w:numId w:val="1"/>
        </w:numPr>
        <w:rPr>
          <w:rFonts w:ascii="Arial" w:hAnsi="Arial" w:cs="Arial"/>
          <w:b/>
          <w:color w:val="000000"/>
          <w:sz w:val="20"/>
          <w:szCs w:val="20"/>
          <w:u w:val="single"/>
        </w:rPr>
      </w:pPr>
      <w:r w:rsidRPr="004E26DE">
        <w:rPr>
          <w:rFonts w:ascii="Arial" w:hAnsi="Arial" w:cs="Arial"/>
          <w:b/>
          <w:color w:val="000000"/>
          <w:sz w:val="20"/>
          <w:szCs w:val="20"/>
          <w:u w:val="single"/>
        </w:rPr>
        <w:t xml:space="preserve">WYMAGANIA DOTYCZĄCE WYKONANIA ROBÓT </w:t>
      </w:r>
    </w:p>
    <w:p w:rsidR="00B57AD2" w:rsidRPr="00C766C7" w:rsidRDefault="00B57AD2" w:rsidP="00B57AD2">
      <w:pPr>
        <w:pStyle w:val="Bezodstpw"/>
        <w:rPr>
          <w:rFonts w:ascii="Arial" w:hAnsi="Arial" w:cs="Arial"/>
          <w:color w:val="FF0000"/>
          <w:sz w:val="20"/>
          <w:szCs w:val="20"/>
        </w:rPr>
      </w:pPr>
    </w:p>
    <w:p w:rsidR="00B57AD2" w:rsidRPr="004E26DE" w:rsidRDefault="00B57AD2" w:rsidP="004E26DE">
      <w:pPr>
        <w:pStyle w:val="Bezodstpw"/>
        <w:numPr>
          <w:ilvl w:val="0"/>
          <w:numId w:val="3"/>
        </w:numPr>
        <w:rPr>
          <w:rFonts w:ascii="Arial" w:hAnsi="Arial" w:cs="Arial"/>
          <w:b/>
          <w:color w:val="000000"/>
          <w:sz w:val="20"/>
          <w:szCs w:val="20"/>
        </w:rPr>
      </w:pPr>
      <w:r w:rsidRPr="004E26DE">
        <w:rPr>
          <w:rFonts w:ascii="Arial" w:hAnsi="Arial" w:cs="Arial"/>
          <w:b/>
          <w:color w:val="000000"/>
          <w:sz w:val="20"/>
          <w:szCs w:val="20"/>
        </w:rPr>
        <w:t xml:space="preserve">Przygotowanie podłoża </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Podłożem pod system tynków najczęściej jest:</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mur tradycyjny z elementów ceramicznych (cegła, pustak, bloczki betonowe, inne elementy drobnowymiarowe) na tradycyjnej zaprawie cementowej i/lub wapiennej</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mur kamienny na tradycyjnej zaprawie cementowej i/lub wapiennej</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mur mieszany na tradycyjnej zaprawie cementowej i/lub wapiennej</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 xml:space="preserve"> beton/żelbet</w:t>
      </w:r>
    </w:p>
    <w:p w:rsidR="00B57AD2" w:rsidRPr="00C766C7" w:rsidRDefault="00B57AD2" w:rsidP="00B57AD2">
      <w:pPr>
        <w:pStyle w:val="Bezodstpw"/>
        <w:rPr>
          <w:rFonts w:ascii="Arial" w:hAnsi="Arial" w:cs="Arial"/>
          <w:sz w:val="20"/>
          <w:szCs w:val="20"/>
        </w:rPr>
      </w:pPr>
      <w:r w:rsidRPr="00C766C7">
        <w:rPr>
          <w:rFonts w:ascii="Arial" w:hAnsi="Arial" w:cs="Arial"/>
          <w:sz w:val="20"/>
          <w:szCs w:val="20"/>
        </w:rPr>
        <w:t>Stare, tynki skuć. Usunąć luźne i niezwiązane cząstki, zmurszałą zaprawę i fragmenty muru. cm. Powierzchnię oczyścić mechanicznie (np.</w:t>
      </w:r>
      <w:r w:rsidRPr="00C766C7">
        <w:rPr>
          <w:rStyle w:val="FontStyle26"/>
          <w:sz w:val="20"/>
          <w:szCs w:val="20"/>
        </w:rPr>
        <w:t xml:space="preserve"> przy pomocy szczotki drucianej lub sprężonym powietrzem, spłukanie wodą, itp)</w:t>
      </w:r>
      <w:r w:rsidRPr="00C766C7">
        <w:rPr>
          <w:rFonts w:ascii="Arial" w:hAnsi="Arial" w:cs="Arial"/>
          <w:sz w:val="20"/>
          <w:szCs w:val="20"/>
        </w:rPr>
        <w:t xml:space="preserve">. Niektóre rodzaje zanieczyszczeń (np. stare powłoki bitumiczne) mogą być usunięte przez piaskowanie, zanieczyszczenia olejowe przez zmycie za pomocą detergentu lub usunięte przez szlifowanie. Gruz usunąć z terenu budowy. Objawy korozji biologicznej (mchy, grzyby pleśniowe, domowe, itp.) usunąć mechanicznie oraz zastosować odpowiednie preparaty biobójcze. </w:t>
      </w:r>
    </w:p>
    <w:p w:rsidR="00B57AD2" w:rsidRPr="00C766C7" w:rsidRDefault="00B57AD2" w:rsidP="00B57AD2">
      <w:pPr>
        <w:pStyle w:val="Bezodstpw"/>
        <w:rPr>
          <w:rStyle w:val="FontStyle16"/>
          <w:sz w:val="20"/>
          <w:szCs w:val="20"/>
        </w:rPr>
      </w:pPr>
      <w:r w:rsidRPr="00C766C7">
        <w:rPr>
          <w:rStyle w:val="FontStyle16"/>
          <w:sz w:val="20"/>
          <w:szCs w:val="20"/>
        </w:rPr>
        <w:t xml:space="preserve">Uwaga: jeżeli podłoże pod pierwszy składnik systemu (obrzutkę O) jest suche lub mocno nasiąkliwe, należy je wcześniej zwilżyć. </w:t>
      </w:r>
    </w:p>
    <w:p w:rsidR="00B57AD2" w:rsidRPr="00C766C7" w:rsidRDefault="00B57AD2" w:rsidP="00B57AD2">
      <w:pPr>
        <w:pStyle w:val="Bezodstpw"/>
        <w:rPr>
          <w:rFonts w:ascii="Arial" w:hAnsi="Arial" w:cs="Arial"/>
          <w:sz w:val="20"/>
          <w:szCs w:val="20"/>
        </w:rPr>
      </w:pPr>
    </w:p>
    <w:p w:rsidR="00B57AD2" w:rsidRPr="004E26DE" w:rsidRDefault="00B57AD2" w:rsidP="004E26DE">
      <w:pPr>
        <w:pStyle w:val="Bezodstpw"/>
        <w:numPr>
          <w:ilvl w:val="0"/>
          <w:numId w:val="3"/>
        </w:numPr>
        <w:rPr>
          <w:rFonts w:ascii="Arial" w:hAnsi="Arial" w:cs="Arial"/>
          <w:b/>
          <w:sz w:val="20"/>
          <w:szCs w:val="20"/>
        </w:rPr>
      </w:pPr>
      <w:r w:rsidRPr="004E26DE">
        <w:rPr>
          <w:rFonts w:ascii="Arial" w:hAnsi="Arial" w:cs="Arial"/>
          <w:b/>
          <w:sz w:val="20"/>
          <w:szCs w:val="20"/>
        </w:rPr>
        <w:t>Przygotowanie materiałów</w:t>
      </w:r>
    </w:p>
    <w:p w:rsidR="004E26DE" w:rsidRDefault="00B57AD2" w:rsidP="00B57AD2">
      <w:pPr>
        <w:pStyle w:val="Bezodstpw"/>
        <w:rPr>
          <w:rStyle w:val="FontStyle16"/>
          <w:i/>
          <w:sz w:val="20"/>
          <w:szCs w:val="20"/>
        </w:rPr>
      </w:pPr>
      <w:r w:rsidRPr="00C766C7">
        <w:rPr>
          <w:rFonts w:ascii="Arial" w:hAnsi="Arial" w:cs="Arial"/>
          <w:i/>
          <w:sz w:val="20"/>
          <w:szCs w:val="20"/>
        </w:rPr>
        <w:t>Obrzutka</w:t>
      </w:r>
    </w:p>
    <w:p w:rsidR="00B57AD2" w:rsidRPr="004E26DE" w:rsidRDefault="00B57AD2" w:rsidP="00B57AD2">
      <w:pPr>
        <w:pStyle w:val="Bezodstpw"/>
        <w:rPr>
          <w:rStyle w:val="FontStyle16"/>
          <w:i/>
          <w:sz w:val="20"/>
          <w:szCs w:val="20"/>
        </w:rPr>
      </w:pPr>
      <w:r w:rsidRPr="00C766C7">
        <w:rPr>
          <w:rStyle w:val="FontStyle16"/>
          <w:sz w:val="20"/>
          <w:szCs w:val="20"/>
        </w:rPr>
        <w:lastRenderedPageBreak/>
        <w:t xml:space="preserve">Zawartość worka wsypać do ok. </w:t>
      </w:r>
      <w:smartTag w:uri="urn:schemas-microsoft-com:office:smarttags" w:element="metricconverter">
        <w:smartTagPr>
          <w:attr w:name="ProductID" w:val="6,5 litra"/>
        </w:smartTagPr>
        <w:r w:rsidRPr="00C766C7">
          <w:rPr>
            <w:rStyle w:val="FontStyle16"/>
            <w:sz w:val="20"/>
            <w:szCs w:val="20"/>
          </w:rPr>
          <w:t>6,5 litra</w:t>
        </w:r>
      </w:smartTag>
      <w:r w:rsidRPr="00C766C7">
        <w:rPr>
          <w:rStyle w:val="FontStyle16"/>
          <w:sz w:val="20"/>
          <w:szCs w:val="20"/>
        </w:rPr>
        <w:t xml:space="preserve"> czystej wody i mieszać mieszadłem wolnoobrotowym, aż do powstania jednolitej, homogenicznej masy bez grudek i zbryleń. Obrzutkę można też przygotowywać w betoniarkach o wymuszonym mieszaniu. Czas mieszania nie powinien być krótszy niż 5 min. Podana ilość wody potrzebna do zarobienia masy tynkarskiej jest wartością szacunkową, którą można odpowiednio zmieniać, zależnie od żądanej konsystencji masy tynkarskiej. Należy przygotować taka ilość materiału, którą można zużyć w ciągu czasu obróbki </w:t>
      </w:r>
    </w:p>
    <w:p w:rsidR="00B57AD2" w:rsidRPr="00C766C7" w:rsidRDefault="00B57AD2" w:rsidP="00B57AD2">
      <w:pPr>
        <w:pStyle w:val="Bezodstpw"/>
        <w:rPr>
          <w:rStyle w:val="FontStyle16"/>
          <w:sz w:val="20"/>
          <w:szCs w:val="20"/>
        </w:rPr>
      </w:pPr>
    </w:p>
    <w:p w:rsidR="00B57AD2" w:rsidRPr="00C766C7" w:rsidRDefault="00B57AD2" w:rsidP="00B57AD2">
      <w:pPr>
        <w:pStyle w:val="Bezodstpw"/>
        <w:rPr>
          <w:rStyle w:val="FontStyle16"/>
          <w:i/>
          <w:sz w:val="20"/>
          <w:szCs w:val="20"/>
        </w:rPr>
      </w:pPr>
      <w:r w:rsidRPr="00C766C7">
        <w:rPr>
          <w:rStyle w:val="FontStyle16"/>
          <w:i/>
          <w:sz w:val="20"/>
          <w:szCs w:val="20"/>
        </w:rPr>
        <w:t>Tynk wapienny</w:t>
      </w:r>
    </w:p>
    <w:p w:rsidR="00B57AD2" w:rsidRPr="00C766C7" w:rsidRDefault="00B57AD2" w:rsidP="00B57AD2">
      <w:pPr>
        <w:pStyle w:val="Bezodstpw"/>
        <w:rPr>
          <w:rStyle w:val="FontStyle16"/>
          <w:sz w:val="20"/>
          <w:szCs w:val="20"/>
        </w:rPr>
      </w:pPr>
      <w:r w:rsidRPr="00C766C7">
        <w:rPr>
          <w:rStyle w:val="FontStyle16"/>
          <w:sz w:val="20"/>
          <w:szCs w:val="20"/>
        </w:rPr>
        <w:t xml:space="preserve">Zawartość worka wsypać do ok. </w:t>
      </w:r>
      <w:smartTag w:uri="urn:schemas-microsoft-com:office:smarttags" w:element="metricconverter">
        <w:smartTagPr>
          <w:attr w:name="ProductID" w:val="5 litrów"/>
        </w:smartTagPr>
        <w:r w:rsidRPr="00C766C7">
          <w:rPr>
            <w:rStyle w:val="FontStyle16"/>
            <w:sz w:val="20"/>
            <w:szCs w:val="20"/>
          </w:rPr>
          <w:t>5 litrów</w:t>
        </w:r>
      </w:smartTag>
      <w:r w:rsidRPr="00C766C7">
        <w:rPr>
          <w:rStyle w:val="FontStyle16"/>
          <w:sz w:val="20"/>
          <w:szCs w:val="20"/>
        </w:rPr>
        <w:t xml:space="preserve"> czystej wody i mieszać mieszadłem wolnoobrotowym, aż do powstania jednolitej, homogenicznej masy bez grudek i zbryleń. Tynk nawierzchniowy można też przygotowywać w betoniarkach o wymuszonym mieszaniu. Czas mieszania powinien wynosić ok. 5 min. Podana ilość wody potrzebna do zarobienia masy tynkarskiej jest wartością szacunkową, którą można odpowiednio zmieniać, zależnie od żądanej konsystencji masy tynkarskiej. Zaprawę można przygotowywać także w mieszalnikach przystosowanych do pracy z agregatami natryskowymi (przy nakładaniu mechanicznym). Należy przygotować taka ilość materiału, którą można zużyć w ciągu czasu obróbki </w:t>
      </w:r>
    </w:p>
    <w:p w:rsidR="00B57AD2" w:rsidRPr="00C766C7" w:rsidRDefault="00B57AD2" w:rsidP="00B57AD2">
      <w:pPr>
        <w:pStyle w:val="Bezodstpw"/>
        <w:rPr>
          <w:rStyle w:val="FontStyle16"/>
          <w:sz w:val="20"/>
          <w:szCs w:val="20"/>
        </w:rPr>
      </w:pPr>
    </w:p>
    <w:p w:rsidR="00B57AD2" w:rsidRPr="0057164E" w:rsidRDefault="0057164E" w:rsidP="0057164E">
      <w:pPr>
        <w:pStyle w:val="Bezodstpw"/>
        <w:numPr>
          <w:ilvl w:val="0"/>
          <w:numId w:val="3"/>
        </w:numPr>
        <w:rPr>
          <w:rFonts w:ascii="Arial" w:hAnsi="Arial" w:cs="Arial"/>
          <w:b/>
          <w:sz w:val="20"/>
          <w:szCs w:val="20"/>
        </w:rPr>
      </w:pPr>
      <w:r w:rsidRPr="0057164E">
        <w:rPr>
          <w:rFonts w:ascii="Arial" w:hAnsi="Arial" w:cs="Arial"/>
          <w:b/>
          <w:sz w:val="20"/>
          <w:szCs w:val="20"/>
        </w:rPr>
        <w:t>Wykonywanie prac tynkarskich</w:t>
      </w:r>
    </w:p>
    <w:p w:rsidR="00B57AD2" w:rsidRPr="00C766C7" w:rsidRDefault="00B57AD2" w:rsidP="00B57AD2">
      <w:pPr>
        <w:pStyle w:val="Bezodstpw"/>
        <w:rPr>
          <w:rStyle w:val="FontStyle16"/>
          <w:sz w:val="20"/>
          <w:szCs w:val="20"/>
        </w:rPr>
      </w:pPr>
      <w:r w:rsidRPr="00C766C7">
        <w:rPr>
          <w:rStyle w:val="FontStyle16"/>
          <w:sz w:val="20"/>
          <w:szCs w:val="20"/>
        </w:rPr>
        <w:t xml:space="preserve">Zaprawę obrzutkę należy nakładać na podłoże w postaci obrzutki (szprycu) w ten sposób, aby pokryć 50 - 70% naprawianej powierzchni. Grubość warstwy może wynosić max. </w:t>
      </w:r>
      <w:smartTag w:uri="urn:schemas-microsoft-com:office:smarttags" w:element="metricconverter">
        <w:smartTagPr>
          <w:attr w:name="ProductID" w:val="5 mm"/>
        </w:smartTagPr>
        <w:r w:rsidRPr="00C766C7">
          <w:rPr>
            <w:rStyle w:val="FontStyle16"/>
            <w:sz w:val="20"/>
            <w:szCs w:val="20"/>
          </w:rPr>
          <w:t>5 mm</w:t>
        </w:r>
      </w:smartTag>
      <w:r w:rsidRPr="00C766C7">
        <w:rPr>
          <w:rStyle w:val="FontStyle16"/>
          <w:sz w:val="20"/>
          <w:szCs w:val="20"/>
        </w:rPr>
        <w:t xml:space="preserve">. Przed nakładaniem dalszych warstw systemu tynków odczekać, aż obrzutka stwardnienie (co najmniej 24 godziny w warunkach normalnych). Na stwardniałą obrzutkę nanieść kolejną warstwę systemu  </w:t>
      </w:r>
    </w:p>
    <w:p w:rsidR="00B57AD2" w:rsidRPr="00C766C7" w:rsidRDefault="00B57AD2" w:rsidP="00B57AD2">
      <w:pPr>
        <w:pStyle w:val="Bezodstpw"/>
        <w:rPr>
          <w:rStyle w:val="FontStyle22"/>
          <w:sz w:val="20"/>
          <w:szCs w:val="20"/>
        </w:rPr>
      </w:pPr>
      <w:r w:rsidRPr="00C766C7">
        <w:rPr>
          <w:rStyle w:val="FontStyle26"/>
          <w:sz w:val="20"/>
          <w:szCs w:val="20"/>
        </w:rPr>
        <w:t xml:space="preserve">Tynk trasowy należy nakładać tak, aby łączna grubość warstwy (warstw) nie była miejsza niż </w:t>
      </w:r>
      <w:smartTag w:uri="urn:schemas-microsoft-com:office:smarttags" w:element="metricconverter">
        <w:smartTagPr>
          <w:attr w:name="ProductID" w:val="2 cm"/>
        </w:smartTagPr>
        <w:r w:rsidRPr="00C766C7">
          <w:rPr>
            <w:rStyle w:val="FontStyle26"/>
            <w:sz w:val="20"/>
            <w:szCs w:val="20"/>
          </w:rPr>
          <w:t>2 cm</w:t>
        </w:r>
      </w:smartTag>
      <w:r w:rsidRPr="00C766C7">
        <w:rPr>
          <w:rStyle w:val="FontStyle26"/>
          <w:sz w:val="20"/>
          <w:szCs w:val="20"/>
        </w:rPr>
        <w:t xml:space="preserve">.. Przy grubości tynku &gt; </w:t>
      </w:r>
      <w:smartTag w:uri="urn:schemas-microsoft-com:office:smarttags" w:element="metricconverter">
        <w:smartTagPr>
          <w:attr w:name="ProductID" w:val="2 cm"/>
        </w:smartTagPr>
        <w:r w:rsidRPr="00C766C7">
          <w:rPr>
            <w:rStyle w:val="FontStyle26"/>
            <w:sz w:val="20"/>
            <w:szCs w:val="20"/>
          </w:rPr>
          <w:t>2 cm</w:t>
        </w:r>
      </w:smartTag>
      <w:r w:rsidRPr="00C766C7">
        <w:rPr>
          <w:rStyle w:val="FontStyle26"/>
          <w:sz w:val="20"/>
          <w:szCs w:val="20"/>
        </w:rPr>
        <w:t xml:space="preserve"> należy nakładać go w dwóch warstwach, przy czym </w:t>
      </w:r>
      <w:r w:rsidRPr="00C766C7">
        <w:rPr>
          <w:rStyle w:val="FontStyle24"/>
          <w:sz w:val="20"/>
          <w:szCs w:val="20"/>
        </w:rPr>
        <w:t>przy czym odstęp technologiczny pomiędzy warstwami powinien wynosić przynajmniej 1 dzień na 1mm grubości już nałożonej warstwy</w:t>
      </w:r>
      <w:r w:rsidRPr="00C766C7">
        <w:rPr>
          <w:rStyle w:val="FontStyle26"/>
          <w:sz w:val="20"/>
          <w:szCs w:val="20"/>
        </w:rPr>
        <w:t xml:space="preserve">. Przy wielowarstwowym nakładaniu tynku świeżo nałożony tynk należy delikatnie wygładzić, a następnie nadać mu szorstkość przez </w:t>
      </w:r>
      <w:r w:rsidRPr="00C766C7">
        <w:rPr>
          <w:rStyle w:val="FontStyle24"/>
          <w:sz w:val="20"/>
          <w:szCs w:val="20"/>
        </w:rPr>
        <w:t xml:space="preserve">poziome przeciągnięcie np. miotłą lub pacą o drobnych, trójkątnych zębach. </w:t>
      </w:r>
      <w:r w:rsidRPr="00C766C7">
        <w:rPr>
          <w:rStyle w:val="FontStyle26"/>
          <w:sz w:val="20"/>
          <w:szCs w:val="20"/>
        </w:rPr>
        <w:t>Jeżeli podłoże pod warstwę tynku stanowi wcześniej nałożony nawierzchniowy to należy zwrócić uwagę na to, aby ten tynk był wystarczająco twardy i szorstki. Przed naniesieniem drugiej warstwy tynku należy też usunąć mechanicznie, np. miotłą, ewentualne zanieczyszczenia. Ostatni</w:t>
      </w:r>
      <w:r w:rsidRPr="00C766C7">
        <w:rPr>
          <w:rStyle w:val="FontStyle22"/>
          <w:sz w:val="20"/>
          <w:szCs w:val="20"/>
        </w:rPr>
        <w:t>ą, ś</w:t>
      </w:r>
      <w:r w:rsidRPr="00C766C7">
        <w:rPr>
          <w:rStyle w:val="FontStyle26"/>
          <w:sz w:val="20"/>
          <w:szCs w:val="20"/>
        </w:rPr>
        <w:t>wie</w:t>
      </w:r>
      <w:r w:rsidRPr="00C766C7">
        <w:rPr>
          <w:rStyle w:val="FontStyle22"/>
          <w:sz w:val="20"/>
          <w:szCs w:val="20"/>
        </w:rPr>
        <w:t xml:space="preserve">żą </w:t>
      </w:r>
      <w:r w:rsidRPr="00C766C7">
        <w:rPr>
          <w:rStyle w:val="FontStyle26"/>
          <w:sz w:val="20"/>
          <w:szCs w:val="20"/>
        </w:rPr>
        <w:t>jeszcze warstw</w:t>
      </w:r>
      <w:r w:rsidRPr="00C766C7">
        <w:rPr>
          <w:rStyle w:val="FontStyle22"/>
          <w:sz w:val="20"/>
          <w:szCs w:val="20"/>
        </w:rPr>
        <w:t xml:space="preserve">ę </w:t>
      </w:r>
      <w:r w:rsidRPr="00C766C7">
        <w:rPr>
          <w:rStyle w:val="FontStyle26"/>
          <w:sz w:val="20"/>
          <w:szCs w:val="20"/>
        </w:rPr>
        <w:t xml:space="preserve">tynku </w:t>
      </w:r>
      <w:r w:rsidRPr="00C766C7">
        <w:rPr>
          <w:rStyle w:val="FontStyle22"/>
          <w:sz w:val="20"/>
          <w:szCs w:val="20"/>
        </w:rPr>
        <w:t>ś</w:t>
      </w:r>
      <w:r w:rsidRPr="00C766C7">
        <w:rPr>
          <w:rStyle w:val="FontStyle26"/>
          <w:sz w:val="20"/>
          <w:szCs w:val="20"/>
        </w:rPr>
        <w:t>ci</w:t>
      </w:r>
      <w:r w:rsidRPr="00C766C7">
        <w:rPr>
          <w:rStyle w:val="FontStyle22"/>
          <w:sz w:val="20"/>
          <w:szCs w:val="20"/>
        </w:rPr>
        <w:t>ą</w:t>
      </w:r>
      <w:r w:rsidRPr="00C766C7">
        <w:rPr>
          <w:rStyle w:val="FontStyle26"/>
          <w:sz w:val="20"/>
          <w:szCs w:val="20"/>
        </w:rPr>
        <w:t>ga si</w:t>
      </w:r>
      <w:r w:rsidRPr="00C766C7">
        <w:rPr>
          <w:rStyle w:val="FontStyle22"/>
          <w:sz w:val="20"/>
          <w:szCs w:val="20"/>
        </w:rPr>
        <w:t xml:space="preserve">ę </w:t>
      </w:r>
      <w:r w:rsidRPr="00C766C7">
        <w:rPr>
          <w:rStyle w:val="FontStyle26"/>
          <w:sz w:val="20"/>
          <w:szCs w:val="20"/>
        </w:rPr>
        <w:t>zmoczon</w:t>
      </w:r>
      <w:r w:rsidRPr="00C766C7">
        <w:rPr>
          <w:rStyle w:val="FontStyle22"/>
          <w:sz w:val="20"/>
          <w:szCs w:val="20"/>
        </w:rPr>
        <w:t xml:space="preserve">ą </w:t>
      </w:r>
      <w:r w:rsidRPr="00C766C7">
        <w:rPr>
          <w:rStyle w:val="FontStyle26"/>
          <w:sz w:val="20"/>
          <w:szCs w:val="20"/>
        </w:rPr>
        <w:t>listw</w:t>
      </w:r>
      <w:r w:rsidRPr="00C766C7">
        <w:rPr>
          <w:rStyle w:val="FontStyle22"/>
          <w:sz w:val="20"/>
          <w:szCs w:val="20"/>
        </w:rPr>
        <w:t xml:space="preserve">ą </w:t>
      </w:r>
      <w:r w:rsidRPr="00C766C7">
        <w:rPr>
          <w:rStyle w:val="FontStyle26"/>
          <w:sz w:val="20"/>
          <w:szCs w:val="20"/>
        </w:rPr>
        <w:t>aluminiow</w:t>
      </w:r>
      <w:r w:rsidRPr="00C766C7">
        <w:rPr>
          <w:rStyle w:val="FontStyle22"/>
          <w:sz w:val="20"/>
          <w:szCs w:val="20"/>
        </w:rPr>
        <w:t xml:space="preserve">ą. </w:t>
      </w:r>
      <w:r w:rsidRPr="00C766C7">
        <w:rPr>
          <w:rStyle w:val="FontStyle26"/>
          <w:sz w:val="20"/>
          <w:szCs w:val="20"/>
        </w:rPr>
        <w:t>Jak tylko powierzchnia zmatowieje, nale</w:t>
      </w:r>
      <w:r w:rsidRPr="00C766C7">
        <w:rPr>
          <w:rStyle w:val="FontStyle22"/>
          <w:sz w:val="20"/>
          <w:szCs w:val="20"/>
        </w:rPr>
        <w:t>ż</w:t>
      </w:r>
      <w:r w:rsidRPr="00C766C7">
        <w:rPr>
          <w:rStyle w:val="FontStyle26"/>
          <w:sz w:val="20"/>
          <w:szCs w:val="20"/>
        </w:rPr>
        <w:t>y wyg</w:t>
      </w:r>
      <w:r w:rsidRPr="00C766C7">
        <w:rPr>
          <w:rStyle w:val="FontStyle22"/>
          <w:sz w:val="20"/>
          <w:szCs w:val="20"/>
        </w:rPr>
        <w:t>ł</w:t>
      </w:r>
      <w:r w:rsidRPr="00C766C7">
        <w:rPr>
          <w:rStyle w:val="FontStyle26"/>
          <w:sz w:val="20"/>
          <w:szCs w:val="20"/>
        </w:rPr>
        <w:t>adzi</w:t>
      </w:r>
      <w:r w:rsidRPr="00C766C7">
        <w:rPr>
          <w:rStyle w:val="FontStyle22"/>
          <w:sz w:val="20"/>
          <w:szCs w:val="20"/>
        </w:rPr>
        <w:t xml:space="preserve">ć </w:t>
      </w:r>
      <w:r w:rsidRPr="00C766C7">
        <w:rPr>
          <w:rStyle w:val="FontStyle26"/>
          <w:sz w:val="20"/>
          <w:szCs w:val="20"/>
        </w:rPr>
        <w:t>tynk mi</w:t>
      </w:r>
      <w:r w:rsidRPr="00C766C7">
        <w:rPr>
          <w:rStyle w:val="FontStyle22"/>
          <w:sz w:val="20"/>
          <w:szCs w:val="20"/>
        </w:rPr>
        <w:t>ę</w:t>
      </w:r>
      <w:r w:rsidRPr="00C766C7">
        <w:rPr>
          <w:rStyle w:val="FontStyle26"/>
          <w:sz w:val="20"/>
          <w:szCs w:val="20"/>
        </w:rPr>
        <w:t>kk</w:t>
      </w:r>
      <w:r w:rsidRPr="00C766C7">
        <w:rPr>
          <w:rStyle w:val="FontStyle22"/>
          <w:sz w:val="20"/>
          <w:szCs w:val="20"/>
        </w:rPr>
        <w:t xml:space="preserve">ą </w:t>
      </w:r>
      <w:r w:rsidRPr="00C766C7">
        <w:rPr>
          <w:rStyle w:val="FontStyle26"/>
          <w:sz w:val="20"/>
          <w:szCs w:val="20"/>
        </w:rPr>
        <w:t>g</w:t>
      </w:r>
      <w:r w:rsidRPr="00C766C7">
        <w:rPr>
          <w:rStyle w:val="FontStyle22"/>
          <w:sz w:val="20"/>
          <w:szCs w:val="20"/>
        </w:rPr>
        <w:t>ą</w:t>
      </w:r>
      <w:r w:rsidRPr="00C766C7">
        <w:rPr>
          <w:rStyle w:val="FontStyle26"/>
          <w:sz w:val="20"/>
          <w:szCs w:val="20"/>
        </w:rPr>
        <w:t>bk</w:t>
      </w:r>
      <w:r w:rsidRPr="00C766C7">
        <w:rPr>
          <w:rStyle w:val="FontStyle22"/>
          <w:sz w:val="20"/>
          <w:szCs w:val="20"/>
        </w:rPr>
        <w:t xml:space="preserve">ą. </w:t>
      </w:r>
      <w:r w:rsidRPr="00C766C7">
        <w:rPr>
          <w:rStyle w:val="FontStyle26"/>
          <w:sz w:val="20"/>
          <w:szCs w:val="20"/>
        </w:rPr>
        <w:t>Po zwi</w:t>
      </w:r>
      <w:r w:rsidRPr="00C766C7">
        <w:rPr>
          <w:rStyle w:val="FontStyle22"/>
          <w:sz w:val="20"/>
          <w:szCs w:val="20"/>
        </w:rPr>
        <w:t>ą</w:t>
      </w:r>
      <w:r w:rsidRPr="00C766C7">
        <w:rPr>
          <w:rStyle w:val="FontStyle26"/>
          <w:sz w:val="20"/>
          <w:szCs w:val="20"/>
        </w:rPr>
        <w:t>zaniu ostatniej warstwy, powierzchni</w:t>
      </w:r>
      <w:r w:rsidRPr="00C766C7">
        <w:rPr>
          <w:rStyle w:val="FontStyle22"/>
          <w:sz w:val="20"/>
          <w:szCs w:val="20"/>
        </w:rPr>
        <w:t xml:space="preserve">ę delikatnie </w:t>
      </w:r>
      <w:r w:rsidRPr="00C766C7">
        <w:rPr>
          <w:rStyle w:val="FontStyle26"/>
          <w:sz w:val="20"/>
          <w:szCs w:val="20"/>
        </w:rPr>
        <w:t>przeciera si</w:t>
      </w:r>
      <w:r w:rsidRPr="00C766C7">
        <w:rPr>
          <w:rStyle w:val="FontStyle22"/>
          <w:sz w:val="20"/>
          <w:szCs w:val="20"/>
        </w:rPr>
        <w:t xml:space="preserve">ę </w:t>
      </w:r>
      <w:r w:rsidRPr="00C766C7">
        <w:rPr>
          <w:rStyle w:val="FontStyle26"/>
          <w:sz w:val="20"/>
          <w:szCs w:val="20"/>
        </w:rPr>
        <w:t>jeszcze raz g</w:t>
      </w:r>
      <w:r w:rsidRPr="00C766C7">
        <w:rPr>
          <w:rStyle w:val="FontStyle22"/>
          <w:sz w:val="20"/>
          <w:szCs w:val="20"/>
        </w:rPr>
        <w:t>ą</w:t>
      </w:r>
      <w:r w:rsidRPr="00C766C7">
        <w:rPr>
          <w:rStyle w:val="FontStyle26"/>
          <w:sz w:val="20"/>
          <w:szCs w:val="20"/>
        </w:rPr>
        <w:t>bk</w:t>
      </w:r>
      <w:r w:rsidRPr="00C766C7">
        <w:rPr>
          <w:rStyle w:val="FontStyle22"/>
          <w:sz w:val="20"/>
          <w:szCs w:val="20"/>
        </w:rPr>
        <w:t>ą.</w:t>
      </w:r>
    </w:p>
    <w:p w:rsidR="00B57AD2" w:rsidRPr="00C766C7" w:rsidRDefault="00B57AD2" w:rsidP="00B57AD2">
      <w:pPr>
        <w:pStyle w:val="Bezodstpw"/>
        <w:rPr>
          <w:rStyle w:val="FontStyle26"/>
          <w:sz w:val="20"/>
          <w:szCs w:val="20"/>
        </w:rPr>
      </w:pPr>
      <w:r w:rsidRPr="00C766C7">
        <w:rPr>
          <w:rFonts w:ascii="Arial" w:hAnsi="Arial" w:cs="Arial"/>
          <w:sz w:val="20"/>
          <w:szCs w:val="20"/>
        </w:rPr>
        <w:t>Tynki</w:t>
      </w:r>
      <w:r w:rsidRPr="00C766C7">
        <w:rPr>
          <w:rStyle w:val="FontStyle26"/>
          <w:sz w:val="20"/>
          <w:szCs w:val="20"/>
        </w:rPr>
        <w:t xml:space="preserve"> nakłada się w tradycyjny sposób, za pomocą kielni i pacy. W celu uzyskania równej powierzchni ściany można stosować drewniane listwy profilowe.</w:t>
      </w:r>
    </w:p>
    <w:p w:rsidR="00B57AD2" w:rsidRPr="00C766C7" w:rsidRDefault="00B57AD2" w:rsidP="00B57AD2">
      <w:pPr>
        <w:pStyle w:val="Bezodstpw"/>
        <w:rPr>
          <w:rFonts w:ascii="Arial" w:hAnsi="Arial" w:cs="Arial"/>
          <w:sz w:val="20"/>
          <w:szCs w:val="20"/>
        </w:rPr>
      </w:pPr>
      <w:r w:rsidRPr="00C766C7">
        <w:rPr>
          <w:rStyle w:val="FontStyle26"/>
          <w:sz w:val="20"/>
          <w:szCs w:val="20"/>
        </w:rPr>
        <w:t>Przy nakładaniu natryskowym k</w:t>
      </w:r>
      <w:r w:rsidRPr="00C766C7">
        <w:rPr>
          <w:rFonts w:ascii="Arial" w:hAnsi="Arial" w:cs="Arial"/>
          <w:sz w:val="20"/>
          <w:szCs w:val="20"/>
        </w:rPr>
        <w:t>ońcówkę tynkarską należy prowadzić ruchem ciągłym wahadłowo-posuwistym, zachowując optymal</w:t>
      </w:r>
      <w:r w:rsidRPr="00C766C7">
        <w:rPr>
          <w:rFonts w:ascii="Arial" w:hAnsi="Arial" w:cs="Arial"/>
          <w:sz w:val="20"/>
          <w:szCs w:val="20"/>
        </w:rPr>
        <w:softHyphen/>
        <w:t>ną odległość końcówki od powierzchni tynkowanej, wynoszącą 18-</w:t>
      </w:r>
      <w:smartTag w:uri="urn:schemas-microsoft-com:office:smarttags" w:element="metricconverter">
        <w:smartTagPr>
          <w:attr w:name="ProductID" w:val="20 cm"/>
        </w:smartTagPr>
        <w:r w:rsidRPr="00C766C7">
          <w:rPr>
            <w:rFonts w:ascii="Arial" w:hAnsi="Arial" w:cs="Arial"/>
            <w:sz w:val="20"/>
            <w:szCs w:val="20"/>
          </w:rPr>
          <w:t>20 cm</w:t>
        </w:r>
      </w:smartTag>
      <w:r w:rsidRPr="00C766C7">
        <w:rPr>
          <w:rFonts w:ascii="Arial" w:hAnsi="Arial" w:cs="Arial"/>
          <w:sz w:val="20"/>
          <w:szCs w:val="20"/>
        </w:rPr>
        <w:t xml:space="preserve"> (o ile specyfikacja konkretnego agregatu nie mówi inaczej).</w:t>
      </w:r>
    </w:p>
    <w:p w:rsidR="00B57AD2" w:rsidRPr="00C766C7" w:rsidRDefault="00B57AD2" w:rsidP="00B57AD2">
      <w:pPr>
        <w:pStyle w:val="Bezodstpw"/>
        <w:rPr>
          <w:rFonts w:ascii="Arial" w:hAnsi="Arial" w:cs="Arial"/>
          <w:sz w:val="20"/>
          <w:szCs w:val="20"/>
        </w:rPr>
      </w:pPr>
    </w:p>
    <w:p w:rsidR="00B57AD2" w:rsidRPr="0057164E" w:rsidRDefault="00B57AD2" w:rsidP="0057164E">
      <w:pPr>
        <w:pStyle w:val="Bezodstpw"/>
        <w:numPr>
          <w:ilvl w:val="0"/>
          <w:numId w:val="3"/>
        </w:numPr>
        <w:rPr>
          <w:rFonts w:ascii="Arial" w:hAnsi="Arial" w:cs="Arial"/>
          <w:b/>
          <w:sz w:val="20"/>
          <w:szCs w:val="20"/>
        </w:rPr>
      </w:pPr>
      <w:r w:rsidRPr="0057164E">
        <w:rPr>
          <w:rFonts w:ascii="Arial" w:hAnsi="Arial" w:cs="Arial"/>
          <w:b/>
          <w:sz w:val="20"/>
          <w:szCs w:val="20"/>
        </w:rPr>
        <w:t>Pielęgnacja tynków</w:t>
      </w:r>
    </w:p>
    <w:p w:rsidR="00B57AD2" w:rsidRPr="00C766C7" w:rsidRDefault="00B57AD2" w:rsidP="00B57AD2">
      <w:pPr>
        <w:pStyle w:val="Bezodstpw"/>
        <w:rPr>
          <w:rStyle w:val="FontStyle22"/>
          <w:sz w:val="20"/>
          <w:szCs w:val="20"/>
        </w:rPr>
      </w:pPr>
      <w:r w:rsidRPr="00C766C7">
        <w:rPr>
          <w:rStyle w:val="FontStyle22"/>
          <w:sz w:val="20"/>
          <w:szCs w:val="20"/>
        </w:rPr>
        <w:t>Ś</w:t>
      </w:r>
      <w:r w:rsidRPr="00C766C7">
        <w:rPr>
          <w:rStyle w:val="FontStyle26"/>
          <w:sz w:val="20"/>
          <w:szCs w:val="20"/>
        </w:rPr>
        <w:t>wie</w:t>
      </w:r>
      <w:r w:rsidRPr="00C766C7">
        <w:rPr>
          <w:rStyle w:val="FontStyle22"/>
          <w:sz w:val="20"/>
          <w:szCs w:val="20"/>
        </w:rPr>
        <w:t>ż</w:t>
      </w:r>
      <w:r w:rsidRPr="00C766C7">
        <w:rPr>
          <w:rStyle w:val="FontStyle26"/>
          <w:sz w:val="20"/>
          <w:szCs w:val="20"/>
        </w:rPr>
        <w:t>o naniesiony tynk renowacyjny nale</w:t>
      </w:r>
      <w:r w:rsidRPr="00C766C7">
        <w:rPr>
          <w:rStyle w:val="FontStyle22"/>
          <w:sz w:val="20"/>
          <w:szCs w:val="20"/>
        </w:rPr>
        <w:t>ż</w:t>
      </w:r>
      <w:r w:rsidRPr="00C766C7">
        <w:rPr>
          <w:rStyle w:val="FontStyle26"/>
          <w:sz w:val="20"/>
          <w:szCs w:val="20"/>
        </w:rPr>
        <w:t>y chroni</w:t>
      </w:r>
      <w:r w:rsidRPr="00C766C7">
        <w:rPr>
          <w:rStyle w:val="FontStyle22"/>
          <w:sz w:val="20"/>
          <w:szCs w:val="20"/>
        </w:rPr>
        <w:t xml:space="preserve">ć </w:t>
      </w:r>
      <w:r w:rsidRPr="00C766C7">
        <w:rPr>
          <w:rStyle w:val="FontStyle26"/>
          <w:sz w:val="20"/>
          <w:szCs w:val="20"/>
        </w:rPr>
        <w:t>przed zbyt szybk</w:t>
      </w:r>
      <w:r w:rsidRPr="00C766C7">
        <w:rPr>
          <w:rStyle w:val="FontStyle22"/>
          <w:sz w:val="20"/>
          <w:szCs w:val="20"/>
        </w:rPr>
        <w:t xml:space="preserve">ą </w:t>
      </w:r>
      <w:r w:rsidRPr="00C766C7">
        <w:rPr>
          <w:rStyle w:val="FontStyle26"/>
          <w:sz w:val="20"/>
          <w:szCs w:val="20"/>
        </w:rPr>
        <w:t>utrat</w:t>
      </w:r>
      <w:r w:rsidRPr="00C766C7">
        <w:rPr>
          <w:rStyle w:val="FontStyle22"/>
          <w:sz w:val="20"/>
          <w:szCs w:val="20"/>
        </w:rPr>
        <w:t xml:space="preserve">ą </w:t>
      </w:r>
      <w:r w:rsidRPr="00C766C7">
        <w:rPr>
          <w:rStyle w:val="FontStyle26"/>
          <w:sz w:val="20"/>
          <w:szCs w:val="20"/>
        </w:rPr>
        <w:t>wody (s</w:t>
      </w:r>
      <w:r w:rsidRPr="00C766C7">
        <w:rPr>
          <w:rStyle w:val="FontStyle22"/>
          <w:sz w:val="20"/>
          <w:szCs w:val="20"/>
        </w:rPr>
        <w:t>ł</w:t>
      </w:r>
      <w:r w:rsidRPr="00C766C7">
        <w:rPr>
          <w:rStyle w:val="FontStyle26"/>
          <w:sz w:val="20"/>
          <w:szCs w:val="20"/>
        </w:rPr>
        <w:t>o</w:t>
      </w:r>
      <w:r w:rsidRPr="00C766C7">
        <w:rPr>
          <w:rStyle w:val="FontStyle22"/>
          <w:sz w:val="20"/>
          <w:szCs w:val="20"/>
        </w:rPr>
        <w:t>ń</w:t>
      </w:r>
      <w:r w:rsidRPr="00C766C7">
        <w:rPr>
          <w:rStyle w:val="FontStyle26"/>
          <w:sz w:val="20"/>
          <w:szCs w:val="20"/>
        </w:rPr>
        <w:t xml:space="preserve">ce, wiatr, wysokie temperatury) np. przez osłonięcie siatkami. W przypadku </w:t>
      </w:r>
      <w:r w:rsidRPr="00C766C7">
        <w:rPr>
          <w:rStyle w:val="FontStyle23"/>
          <w:sz w:val="20"/>
          <w:szCs w:val="20"/>
        </w:rPr>
        <w:t>zbyt szybkiego wysychania nale</w:t>
      </w:r>
      <w:r w:rsidRPr="00C766C7">
        <w:rPr>
          <w:rStyle w:val="FontStyle22"/>
          <w:sz w:val="20"/>
          <w:szCs w:val="20"/>
        </w:rPr>
        <w:t>ż</w:t>
      </w:r>
      <w:r w:rsidRPr="00C766C7">
        <w:rPr>
          <w:rStyle w:val="FontStyle23"/>
          <w:sz w:val="20"/>
          <w:szCs w:val="20"/>
        </w:rPr>
        <w:t>y powierzchni</w:t>
      </w:r>
      <w:r w:rsidRPr="00C766C7">
        <w:rPr>
          <w:rStyle w:val="FontStyle22"/>
          <w:sz w:val="20"/>
          <w:szCs w:val="20"/>
        </w:rPr>
        <w:t xml:space="preserve">ę </w:t>
      </w:r>
      <w:r w:rsidRPr="00C766C7">
        <w:rPr>
          <w:rStyle w:val="FontStyle23"/>
          <w:sz w:val="20"/>
          <w:szCs w:val="20"/>
        </w:rPr>
        <w:t xml:space="preserve">tynku ponownie zwilżyć. </w:t>
      </w:r>
      <w:r w:rsidRPr="00C766C7">
        <w:rPr>
          <w:rStyle w:val="FontStyle22"/>
          <w:sz w:val="20"/>
          <w:szCs w:val="20"/>
        </w:rPr>
        <w:t>W pomieszczeniach piwnicznych należy zapewnić odpowiednie warunki wiązania i twardnienia tynku, tzn. temperaturę nie niższą niż +</w:t>
      </w:r>
      <w:smartTag w:uri="urn:schemas-microsoft-com:office:smarttags" w:element="metricconverter">
        <w:smartTagPr>
          <w:attr w:name="ProductID" w:val="50C"/>
        </w:smartTagPr>
        <w:r w:rsidRPr="00C766C7">
          <w:rPr>
            <w:rStyle w:val="FontStyle22"/>
            <w:sz w:val="20"/>
            <w:szCs w:val="20"/>
          </w:rPr>
          <w:t>5</w:t>
        </w:r>
        <w:r w:rsidRPr="00C766C7">
          <w:rPr>
            <w:rStyle w:val="FontStyle22"/>
            <w:sz w:val="20"/>
            <w:szCs w:val="20"/>
            <w:vertAlign w:val="superscript"/>
          </w:rPr>
          <w:t>0</w:t>
        </w:r>
        <w:r w:rsidRPr="00C766C7">
          <w:rPr>
            <w:rStyle w:val="FontStyle22"/>
            <w:sz w:val="20"/>
            <w:szCs w:val="20"/>
          </w:rPr>
          <w:t>C</w:t>
        </w:r>
      </w:smartTag>
      <w:r w:rsidRPr="00C766C7">
        <w:rPr>
          <w:rStyle w:val="FontStyle22"/>
          <w:sz w:val="20"/>
          <w:szCs w:val="20"/>
        </w:rPr>
        <w:t xml:space="preserve"> i wilgotność względną powietrza nie wyższą niż 60%.</w:t>
      </w:r>
    </w:p>
    <w:p w:rsidR="00B57AD2" w:rsidRPr="0057164E" w:rsidRDefault="00B57AD2" w:rsidP="00B57AD2">
      <w:pPr>
        <w:pStyle w:val="Bezodstpw"/>
        <w:rPr>
          <w:rStyle w:val="FontStyle22"/>
          <w:b/>
          <w:sz w:val="20"/>
          <w:szCs w:val="20"/>
        </w:rPr>
      </w:pPr>
    </w:p>
    <w:p w:rsidR="00B57AD2" w:rsidRPr="0057164E" w:rsidRDefault="00B57AD2" w:rsidP="0057164E">
      <w:pPr>
        <w:pStyle w:val="Bezodstpw"/>
        <w:numPr>
          <w:ilvl w:val="0"/>
          <w:numId w:val="3"/>
        </w:numPr>
        <w:rPr>
          <w:rStyle w:val="FontStyle16"/>
          <w:b/>
          <w:sz w:val="20"/>
          <w:szCs w:val="20"/>
        </w:rPr>
      </w:pPr>
      <w:r w:rsidRPr="0057164E">
        <w:rPr>
          <w:rStyle w:val="FontStyle16"/>
          <w:b/>
          <w:sz w:val="20"/>
          <w:szCs w:val="20"/>
        </w:rPr>
        <w:t>Warstwy wykończeniowe.</w:t>
      </w:r>
    </w:p>
    <w:p w:rsidR="00B57AD2" w:rsidRPr="00C766C7" w:rsidRDefault="00B57AD2" w:rsidP="00B57AD2">
      <w:pPr>
        <w:pStyle w:val="Bezodstpw"/>
        <w:rPr>
          <w:rStyle w:val="FontStyle18"/>
          <w:sz w:val="20"/>
          <w:szCs w:val="20"/>
        </w:rPr>
      </w:pPr>
      <w:r w:rsidRPr="00C766C7">
        <w:rPr>
          <w:rStyle w:val="FontStyle16"/>
          <w:sz w:val="20"/>
          <w:szCs w:val="20"/>
        </w:rPr>
        <w:t xml:space="preserve">Do wygładzenia powierzchni stosować wyłącznie szpachlę renowacyjną </w:t>
      </w:r>
      <w:r w:rsidRPr="00C766C7">
        <w:rPr>
          <w:rStyle w:val="FontStyle18"/>
          <w:sz w:val="20"/>
          <w:szCs w:val="20"/>
        </w:rPr>
        <w:t>Wymieszaną zaprawę rozprowadzić równomiernie przy pomocy pacy stalowej na wysezonowanym i związanym tynku nawierzchniowego (o</w:t>
      </w:r>
      <w:r w:rsidRPr="00C766C7">
        <w:rPr>
          <w:rStyle w:val="FontStyle24"/>
          <w:sz w:val="20"/>
          <w:szCs w:val="20"/>
        </w:rPr>
        <w:t>dstęp technologiczny powinien wynosić przynajmniej 1 dzień na 1mm grubości już nałożonej warstwy)</w:t>
      </w:r>
      <w:r w:rsidRPr="00C766C7">
        <w:rPr>
          <w:rStyle w:val="FontStyle18"/>
          <w:sz w:val="20"/>
          <w:szCs w:val="20"/>
        </w:rPr>
        <w:t xml:space="preserve"> i poddać obróbce zacieraczką lub pacą obłożoną filcem. Temperatura podłoża i materiału podczas obróbki, a także w ciągu następnych 24 godzin nie powinna być niższa niż +</w:t>
      </w:r>
      <w:smartTag w:uri="urn:schemas-microsoft-com:office:smarttags" w:element="metricconverter">
        <w:smartTagPr>
          <w:attr w:name="ProductID" w:val="5°C"/>
        </w:smartTagPr>
        <w:r w:rsidRPr="00C766C7">
          <w:rPr>
            <w:rStyle w:val="FontStyle18"/>
            <w:sz w:val="20"/>
            <w:szCs w:val="20"/>
          </w:rPr>
          <w:t>5°C</w:t>
        </w:r>
      </w:smartTag>
      <w:r w:rsidRPr="00C766C7">
        <w:rPr>
          <w:rStyle w:val="FontStyle18"/>
          <w:sz w:val="20"/>
          <w:szCs w:val="20"/>
        </w:rPr>
        <w:t xml:space="preserve">. Grubość nanoszenia nie powinna przekraczać </w:t>
      </w:r>
      <w:smartTag w:uri="urn:schemas-microsoft-com:office:smarttags" w:element="metricconverter">
        <w:smartTagPr>
          <w:attr w:name="ProductID" w:val="3 mm"/>
        </w:smartTagPr>
        <w:r w:rsidRPr="00C766C7">
          <w:rPr>
            <w:rStyle w:val="FontStyle18"/>
            <w:sz w:val="20"/>
            <w:szCs w:val="20"/>
          </w:rPr>
          <w:t>3 mm</w:t>
        </w:r>
      </w:smartTag>
      <w:r w:rsidRPr="00C766C7">
        <w:rPr>
          <w:rStyle w:val="FontStyle18"/>
          <w:sz w:val="20"/>
          <w:szCs w:val="20"/>
        </w:rPr>
        <w:t>.</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Powłoki malarskie:</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Aby zagwarantować działanie osuszające produktów należy stosować wyłącznie dyfuzyjne powłoki malarskie na bazie krzemianów.</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Wewnątrz: opór dyfuzyjny Sd &lt;0,01 m</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Absorpcja wody, spowodowana podciąganiem kapilarnym</w:t>
      </w:r>
    </w:p>
    <w:p w:rsidR="00B57AD2" w:rsidRPr="00C766C7" w:rsidRDefault="00B57AD2" w:rsidP="00B57AD2">
      <w:pPr>
        <w:pStyle w:val="Bezodstpw"/>
        <w:rPr>
          <w:rFonts w:ascii="Arial" w:hAnsi="Arial" w:cs="Arial"/>
          <w:color w:val="000000"/>
          <w:sz w:val="20"/>
          <w:szCs w:val="20"/>
        </w:rPr>
      </w:pPr>
      <w:r w:rsidRPr="00C766C7">
        <w:rPr>
          <w:rFonts w:ascii="Arial" w:hAnsi="Arial" w:cs="Arial"/>
          <w:color w:val="000000"/>
          <w:sz w:val="20"/>
          <w:szCs w:val="20"/>
        </w:rPr>
        <w:t>&lt; 0,1 kg/m²h½</w:t>
      </w:r>
    </w:p>
    <w:p w:rsidR="00B57AD2" w:rsidRPr="00C766C7" w:rsidRDefault="00B57AD2" w:rsidP="00B57AD2">
      <w:pPr>
        <w:pStyle w:val="Bezodstpw"/>
        <w:rPr>
          <w:rFonts w:ascii="Arial" w:hAnsi="Arial" w:cs="Arial"/>
          <w:color w:val="000000"/>
          <w:sz w:val="20"/>
          <w:szCs w:val="20"/>
        </w:rPr>
      </w:pPr>
    </w:p>
    <w:p w:rsidR="004E26DE" w:rsidRDefault="004E26DE" w:rsidP="004E26DE">
      <w:pPr>
        <w:spacing w:line="360" w:lineRule="auto"/>
        <w:jc w:val="both"/>
        <w:rPr>
          <w:rFonts w:ascii="Arial" w:hAnsi="Arial" w:cs="Arial"/>
          <w:b/>
          <w:bCs/>
          <w:color w:val="000000"/>
          <w:sz w:val="20"/>
        </w:rPr>
      </w:pPr>
      <w:r>
        <w:rPr>
          <w:rFonts w:ascii="Arial" w:hAnsi="Arial" w:cs="Arial"/>
          <w:b/>
          <w:sz w:val="20"/>
        </w:rPr>
        <w:t>6.</w:t>
      </w:r>
      <w:r>
        <w:rPr>
          <w:rFonts w:ascii="Arial" w:hAnsi="Arial" w:cs="Arial"/>
          <w:b/>
          <w:sz w:val="20"/>
          <w:u w:val="single"/>
        </w:rPr>
        <w:t>KONTROLA JAKOŚCI</w:t>
      </w:r>
    </w:p>
    <w:p w:rsidR="004E26DE" w:rsidRDefault="004E26DE" w:rsidP="004E26DE">
      <w:pPr>
        <w:autoSpaceDE w:val="0"/>
        <w:spacing w:line="240" w:lineRule="auto"/>
        <w:rPr>
          <w:rFonts w:ascii="Arial" w:hAnsi="Arial" w:cs="Arial"/>
          <w:color w:val="000000"/>
          <w:sz w:val="20"/>
        </w:rPr>
      </w:pPr>
      <w:r>
        <w:rPr>
          <w:rFonts w:ascii="Arial" w:hAnsi="Arial" w:cs="Arial"/>
          <w:b/>
          <w:bCs/>
          <w:color w:val="000000"/>
          <w:sz w:val="20"/>
        </w:rPr>
        <w:t>6.1. Ogólne zasady kontroli</w:t>
      </w:r>
    </w:p>
    <w:p w:rsidR="004E26DE" w:rsidRDefault="004E26DE" w:rsidP="004E26DE">
      <w:pPr>
        <w:autoSpaceDE w:val="0"/>
        <w:spacing w:line="240" w:lineRule="auto"/>
        <w:rPr>
          <w:rFonts w:ascii="Arial" w:hAnsi="Arial" w:cs="Arial"/>
          <w:color w:val="000000"/>
          <w:sz w:val="20"/>
        </w:rPr>
      </w:pPr>
      <w:r>
        <w:rPr>
          <w:rFonts w:ascii="Arial" w:hAnsi="Arial" w:cs="Arial"/>
          <w:color w:val="000000"/>
          <w:sz w:val="20"/>
        </w:rPr>
        <w:t>Ogólne wymagania dotyczące kontroli jakości Robót podano w „Wymagania ogólne”.</w:t>
      </w:r>
    </w:p>
    <w:p w:rsidR="004E26DE" w:rsidRDefault="004E26DE" w:rsidP="004E26DE">
      <w:pPr>
        <w:autoSpaceDE w:val="0"/>
        <w:spacing w:line="360" w:lineRule="auto"/>
        <w:rPr>
          <w:rFonts w:ascii="Arial" w:hAnsi="Arial" w:cs="Arial"/>
          <w:color w:val="000000"/>
          <w:sz w:val="20"/>
        </w:rPr>
      </w:pPr>
      <w:r>
        <w:rPr>
          <w:rFonts w:ascii="Arial" w:hAnsi="Arial" w:cs="Arial"/>
          <w:b/>
          <w:bCs/>
          <w:color w:val="000000"/>
          <w:sz w:val="20"/>
        </w:rPr>
        <w:t>6.2. Podstawowe zasady bhp przy robotach budowlanych</w:t>
      </w:r>
    </w:p>
    <w:p w:rsidR="004E26DE" w:rsidRPr="00791A78" w:rsidRDefault="004E26DE" w:rsidP="004E26DE">
      <w:pPr>
        <w:autoSpaceDE w:val="0"/>
        <w:rPr>
          <w:rFonts w:ascii="Arial" w:hAnsi="Arial" w:cs="Arial"/>
          <w:color w:val="000000"/>
          <w:sz w:val="20"/>
        </w:rPr>
      </w:pPr>
      <w:r>
        <w:rPr>
          <w:rFonts w:ascii="Arial" w:hAnsi="Arial" w:cs="Arial"/>
          <w:color w:val="000000"/>
          <w:sz w:val="20"/>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4E26DE" w:rsidRDefault="004E26DE" w:rsidP="004E26DE">
      <w:pPr>
        <w:spacing w:line="360" w:lineRule="auto"/>
        <w:jc w:val="both"/>
        <w:rPr>
          <w:rFonts w:ascii="Arial" w:hAnsi="Arial" w:cs="Arial"/>
          <w:color w:val="000000"/>
          <w:sz w:val="20"/>
        </w:rPr>
      </w:pPr>
      <w:r>
        <w:rPr>
          <w:rFonts w:ascii="Arial" w:hAnsi="Arial" w:cs="Arial"/>
          <w:b/>
          <w:sz w:val="20"/>
        </w:rPr>
        <w:t>7.</w:t>
      </w:r>
      <w:r>
        <w:rPr>
          <w:rFonts w:ascii="Arial" w:hAnsi="Arial" w:cs="Arial"/>
          <w:b/>
          <w:sz w:val="20"/>
          <w:u w:val="single"/>
        </w:rPr>
        <w:t>OBMIAR ROBÓT</w:t>
      </w:r>
    </w:p>
    <w:p w:rsidR="004E26DE" w:rsidRDefault="004E26DE" w:rsidP="004E26DE">
      <w:pPr>
        <w:autoSpaceDE w:val="0"/>
        <w:rPr>
          <w:rFonts w:ascii="Arial" w:hAnsi="Arial" w:cs="Arial"/>
          <w:color w:val="000000"/>
          <w:sz w:val="20"/>
        </w:rPr>
      </w:pPr>
      <w:r>
        <w:rPr>
          <w:rFonts w:ascii="Arial" w:hAnsi="Arial" w:cs="Arial"/>
          <w:color w:val="000000"/>
          <w:sz w:val="20"/>
        </w:rPr>
        <w:t>Ogólne wymagania dotyczące obmiaru Robót podano w „Wymagania ogólne”.</w:t>
      </w:r>
    </w:p>
    <w:p w:rsidR="004E26DE" w:rsidRDefault="004E26DE" w:rsidP="004E26DE">
      <w:pPr>
        <w:spacing w:line="360" w:lineRule="auto"/>
        <w:jc w:val="both"/>
        <w:rPr>
          <w:rFonts w:ascii="Arial" w:hAnsi="Arial" w:cs="Arial"/>
          <w:color w:val="000000"/>
          <w:sz w:val="20"/>
        </w:rPr>
      </w:pPr>
      <w:r>
        <w:rPr>
          <w:rFonts w:ascii="Arial" w:hAnsi="Arial" w:cs="Arial"/>
          <w:b/>
          <w:sz w:val="20"/>
        </w:rPr>
        <w:t>8.</w:t>
      </w:r>
      <w:r>
        <w:rPr>
          <w:rFonts w:ascii="Arial" w:hAnsi="Arial" w:cs="Arial"/>
          <w:b/>
          <w:sz w:val="20"/>
          <w:u w:val="single"/>
        </w:rPr>
        <w:t>ODBIÓR TECHNICZNY ROBÓT</w:t>
      </w:r>
    </w:p>
    <w:p w:rsidR="004E26DE" w:rsidRDefault="004E26DE" w:rsidP="004E26DE">
      <w:pPr>
        <w:autoSpaceDE w:val="0"/>
        <w:rPr>
          <w:rFonts w:ascii="Arial" w:hAnsi="Arial" w:cs="Arial"/>
          <w:sz w:val="20"/>
        </w:rPr>
      </w:pPr>
      <w:r>
        <w:rPr>
          <w:rFonts w:ascii="Arial" w:hAnsi="Arial" w:cs="Arial"/>
          <w:color w:val="000000"/>
          <w:sz w:val="20"/>
        </w:rPr>
        <w:t>Ogólne wymagania dotyczące odbioru Robót podano w „Wymagania ogólne”. Roboty wymienione w ST podlegają odbiorowi po ich ukończeniu, jednak przed zasypaniem rozkopów.</w:t>
      </w:r>
    </w:p>
    <w:p w:rsidR="004E26DE" w:rsidRDefault="004E26DE" w:rsidP="004E26DE">
      <w:pPr>
        <w:spacing w:line="360" w:lineRule="auto"/>
        <w:jc w:val="both"/>
        <w:rPr>
          <w:rFonts w:ascii="Arial" w:hAnsi="Arial" w:cs="Arial"/>
          <w:color w:val="000000"/>
          <w:sz w:val="20"/>
        </w:rPr>
      </w:pPr>
      <w:r>
        <w:rPr>
          <w:rFonts w:ascii="Arial" w:hAnsi="Arial" w:cs="Arial"/>
          <w:b/>
          <w:sz w:val="20"/>
        </w:rPr>
        <w:t>9.</w:t>
      </w:r>
      <w:r>
        <w:rPr>
          <w:rFonts w:ascii="Arial" w:hAnsi="Arial" w:cs="Arial"/>
          <w:b/>
          <w:sz w:val="20"/>
          <w:u w:val="single"/>
        </w:rPr>
        <w:t>PODSTAWA PŁATNOŚCI</w:t>
      </w:r>
    </w:p>
    <w:p w:rsidR="004E26DE" w:rsidRDefault="004E26DE" w:rsidP="004E26DE">
      <w:pPr>
        <w:autoSpaceDE w:val="0"/>
        <w:rPr>
          <w:rFonts w:ascii="Arial" w:hAnsi="Arial" w:cs="Arial"/>
          <w:color w:val="000000"/>
          <w:sz w:val="20"/>
        </w:rPr>
      </w:pPr>
      <w:r>
        <w:rPr>
          <w:rFonts w:ascii="Arial" w:hAnsi="Arial" w:cs="Arial"/>
          <w:color w:val="000000"/>
          <w:sz w:val="20"/>
        </w:rPr>
        <w:t>Ogólne wymagania dotyczące płatności podano w „Wymagania ogólne”.</w:t>
      </w:r>
    </w:p>
    <w:p w:rsidR="004E26DE" w:rsidRDefault="004E26DE" w:rsidP="004E26DE">
      <w:pPr>
        <w:spacing w:line="360" w:lineRule="auto"/>
        <w:jc w:val="both"/>
        <w:rPr>
          <w:rFonts w:ascii="Arial" w:hAnsi="Arial" w:cs="Arial"/>
          <w:color w:val="000000"/>
          <w:sz w:val="20"/>
        </w:rPr>
      </w:pPr>
      <w:r>
        <w:rPr>
          <w:rFonts w:ascii="Arial" w:hAnsi="Arial" w:cs="Arial"/>
          <w:b/>
          <w:sz w:val="20"/>
        </w:rPr>
        <w:t>10.</w:t>
      </w:r>
      <w:r>
        <w:rPr>
          <w:rFonts w:ascii="Arial" w:hAnsi="Arial" w:cs="Arial"/>
          <w:b/>
          <w:sz w:val="20"/>
          <w:u w:val="single"/>
        </w:rPr>
        <w:t>PRZEPISY ZWIĄZANE</w:t>
      </w:r>
    </w:p>
    <w:p w:rsidR="004E26DE" w:rsidRDefault="004E26DE" w:rsidP="004E26DE">
      <w:pPr>
        <w:numPr>
          <w:ilvl w:val="0"/>
          <w:numId w:val="5"/>
        </w:numPr>
        <w:spacing w:after="0" w:line="240" w:lineRule="auto"/>
        <w:ind w:left="709" w:hanging="425"/>
        <w:jc w:val="both"/>
        <w:rPr>
          <w:rFonts w:ascii="Arial" w:hAnsi="Arial" w:cs="Arial"/>
          <w:sz w:val="20"/>
          <w:szCs w:val="20"/>
        </w:rPr>
      </w:pPr>
      <w:r>
        <w:rPr>
          <w:rFonts w:ascii="Arial" w:hAnsi="Arial" w:cs="Arial"/>
          <w:sz w:val="20"/>
        </w:rPr>
        <w:t>Dz. U. nr 75/2002 „Warunki techniczne jakim powinny odpowiadać budynki i ich usytuowanie”</w:t>
      </w:r>
    </w:p>
    <w:p w:rsidR="004E26DE" w:rsidRDefault="004E26DE" w:rsidP="004E26DE">
      <w:pPr>
        <w:jc w:val="both"/>
        <w:rPr>
          <w:rFonts w:ascii="Arial" w:hAnsi="Arial" w:cs="Arial"/>
          <w:sz w:val="20"/>
          <w:szCs w:val="20"/>
        </w:rPr>
      </w:pPr>
    </w:p>
    <w:p w:rsidR="004E26DE" w:rsidRPr="0060090E" w:rsidRDefault="004E26DE" w:rsidP="004E26DE">
      <w:pPr>
        <w:spacing w:line="360" w:lineRule="auto"/>
        <w:jc w:val="both"/>
        <w:rPr>
          <w:rFonts w:ascii="Arial" w:hAnsi="Arial" w:cs="Arial"/>
          <w:b/>
          <w:bCs/>
          <w:i/>
          <w:iCs/>
          <w:sz w:val="20"/>
          <w:szCs w:val="20"/>
        </w:rPr>
      </w:pPr>
      <w:r>
        <w:rPr>
          <w:rFonts w:ascii="Arial" w:hAnsi="Arial" w:cs="Arial"/>
          <w:b/>
          <w:bCs/>
          <w:i/>
          <w:iCs/>
          <w:sz w:val="20"/>
        </w:rPr>
        <w:t>Polskie normy :</w:t>
      </w:r>
    </w:p>
    <w:p w:rsidR="004E26DE" w:rsidRPr="0060090E" w:rsidRDefault="004E26DE" w:rsidP="004E26DE">
      <w:pPr>
        <w:pStyle w:val="Akapitzlist"/>
        <w:numPr>
          <w:ilvl w:val="0"/>
          <w:numId w:val="4"/>
        </w:numPr>
        <w:jc w:val="both"/>
        <w:rPr>
          <w:rFonts w:ascii="Arial" w:hAnsi="Arial" w:cs="Arial"/>
          <w:sz w:val="20"/>
          <w:szCs w:val="20"/>
        </w:rPr>
      </w:pPr>
      <w:r w:rsidRPr="0060090E">
        <w:rPr>
          <w:rFonts w:ascii="Arial" w:hAnsi="Arial" w:cs="Arial"/>
          <w:sz w:val="20"/>
        </w:rPr>
        <w:t>PN-B-04500</w:t>
      </w:r>
      <w:r w:rsidRPr="0060090E">
        <w:rPr>
          <w:rFonts w:ascii="Arial" w:hAnsi="Arial" w:cs="Arial"/>
          <w:sz w:val="20"/>
        </w:rPr>
        <w:tab/>
        <w:t>„Zaprawy budowlane. Badania cech fizycznych i wytrzymałościowych”</w:t>
      </w:r>
    </w:p>
    <w:p w:rsidR="004E26DE" w:rsidRPr="0060090E" w:rsidRDefault="004E26DE" w:rsidP="004E26DE">
      <w:pPr>
        <w:pStyle w:val="Akapitzlist"/>
        <w:numPr>
          <w:ilvl w:val="0"/>
          <w:numId w:val="4"/>
        </w:numPr>
        <w:jc w:val="both"/>
        <w:rPr>
          <w:rFonts w:ascii="Arial" w:hAnsi="Arial" w:cs="Arial"/>
          <w:sz w:val="20"/>
          <w:szCs w:val="20"/>
        </w:rPr>
      </w:pPr>
      <w:r w:rsidRPr="0060090E">
        <w:rPr>
          <w:rFonts w:ascii="Arial" w:hAnsi="Arial" w:cs="Arial"/>
          <w:sz w:val="20"/>
        </w:rPr>
        <w:t xml:space="preserve">PN-C-04630 </w:t>
      </w:r>
      <w:r w:rsidRPr="0060090E">
        <w:rPr>
          <w:rFonts w:ascii="Arial" w:hAnsi="Arial" w:cs="Arial"/>
          <w:sz w:val="20"/>
        </w:rPr>
        <w:tab/>
        <w:t>„Woda do celów budowlanych. Wymagania i badania”.</w:t>
      </w:r>
    </w:p>
    <w:p w:rsidR="004E26DE" w:rsidRPr="0060090E" w:rsidRDefault="004E26DE" w:rsidP="004E26DE">
      <w:pPr>
        <w:pStyle w:val="Akapitzlist"/>
        <w:numPr>
          <w:ilvl w:val="0"/>
          <w:numId w:val="4"/>
        </w:numPr>
        <w:jc w:val="both"/>
        <w:rPr>
          <w:rFonts w:ascii="Arial" w:hAnsi="Arial" w:cs="Arial"/>
          <w:sz w:val="20"/>
        </w:rPr>
      </w:pPr>
      <w:r w:rsidRPr="0060090E">
        <w:rPr>
          <w:rFonts w:ascii="Arial" w:hAnsi="Arial" w:cs="Arial"/>
          <w:sz w:val="20"/>
        </w:rPr>
        <w:t xml:space="preserve">PN-B-10100 </w:t>
      </w:r>
      <w:r w:rsidRPr="0060090E">
        <w:rPr>
          <w:rFonts w:ascii="Arial" w:hAnsi="Arial" w:cs="Arial"/>
          <w:sz w:val="20"/>
        </w:rPr>
        <w:tab/>
        <w:t>„Roboty tynkowe. Tynki zwykłe. Wymagania i badania przy odbiorze.”</w:t>
      </w:r>
    </w:p>
    <w:p w:rsidR="00B57AD2" w:rsidRPr="00C766C7" w:rsidRDefault="00B57AD2" w:rsidP="00B57AD2">
      <w:pPr>
        <w:pStyle w:val="Bezodstpw"/>
        <w:rPr>
          <w:rFonts w:ascii="Arial" w:hAnsi="Arial" w:cs="Arial"/>
          <w:color w:val="000000"/>
          <w:sz w:val="20"/>
          <w:szCs w:val="20"/>
        </w:rPr>
      </w:pPr>
    </w:p>
    <w:p w:rsidR="00B57AD2" w:rsidRPr="0000543A" w:rsidRDefault="00B57AD2" w:rsidP="00B57AD2">
      <w:pPr>
        <w:pStyle w:val="Bezodstpw"/>
        <w:rPr>
          <w:rFonts w:ascii="Arial" w:hAnsi="Arial" w:cs="Arial"/>
          <w:sz w:val="20"/>
          <w:szCs w:val="20"/>
        </w:rPr>
      </w:pPr>
    </w:p>
    <w:bookmarkEnd w:id="0"/>
    <w:p w:rsidR="00FC2D08" w:rsidRDefault="00FC2D08"/>
    <w:sectPr w:rsidR="00FC2D0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B4002">
      <w:pPr>
        <w:spacing w:after="0" w:line="240" w:lineRule="auto"/>
      </w:pPr>
      <w:r>
        <w:separator/>
      </w:r>
    </w:p>
  </w:endnote>
  <w:endnote w:type="continuationSeparator" w:id="0">
    <w:p w:rsidR="00000000" w:rsidRDefault="00BB4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E91" w:rsidRDefault="00F01C32">
    <w:pPr>
      <w:pStyle w:val="Stopka"/>
      <w:jc w:val="right"/>
    </w:pPr>
    <w:r>
      <w:fldChar w:fldCharType="begin"/>
    </w:r>
    <w:r>
      <w:instrText>PAGE   \* MERGEFORMAT</w:instrText>
    </w:r>
    <w:r>
      <w:fldChar w:fldCharType="separate"/>
    </w:r>
    <w:r w:rsidR="00BB4002">
      <w:rPr>
        <w:noProof/>
      </w:rPr>
      <w:t>1</w:t>
    </w:r>
    <w:r>
      <w:fldChar w:fldCharType="end"/>
    </w:r>
  </w:p>
  <w:p w:rsidR="008F5E91" w:rsidRDefault="00BB40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B4002">
      <w:pPr>
        <w:spacing w:after="0" w:line="240" w:lineRule="auto"/>
      </w:pPr>
      <w:r>
        <w:separator/>
      </w:r>
    </w:p>
  </w:footnote>
  <w:footnote w:type="continuationSeparator" w:id="0">
    <w:p w:rsidR="00000000" w:rsidRDefault="00BB40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1" w15:restartNumberingAfterBreak="0">
    <w:nsid w:val="09441604"/>
    <w:multiLevelType w:val="hybridMultilevel"/>
    <w:tmpl w:val="498257EA"/>
    <w:lvl w:ilvl="0" w:tplc="56BCFF9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E55A18"/>
    <w:multiLevelType w:val="hybridMultilevel"/>
    <w:tmpl w:val="E58832B2"/>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55653CA1"/>
    <w:multiLevelType w:val="hybridMultilevel"/>
    <w:tmpl w:val="C8969B54"/>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3E80EF2"/>
    <w:multiLevelType w:val="hybridMultilevel"/>
    <w:tmpl w:val="5E1CE4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3E14051"/>
    <w:multiLevelType w:val="hybridMultilevel"/>
    <w:tmpl w:val="0A384984"/>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4"/>
  </w:num>
  <w:num w:numId="4">
    <w:abstractNumId w:val="0"/>
  </w:num>
  <w:num w:numId="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D2"/>
    <w:rsid w:val="004E26DE"/>
    <w:rsid w:val="0057164E"/>
    <w:rsid w:val="00AE6E20"/>
    <w:rsid w:val="00B57AD2"/>
    <w:rsid w:val="00BB4002"/>
    <w:rsid w:val="00F01C32"/>
    <w:rsid w:val="00FC2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15416D"/>
  <w15:chartTrackingRefBased/>
  <w15:docId w15:val="{C3742726-290F-46D0-8427-78FC7DB4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57AD2"/>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21">
    <w:name w:val="Font Style21"/>
    <w:basedOn w:val="Domylnaczcionkaakapitu"/>
    <w:uiPriority w:val="99"/>
    <w:rsid w:val="00B57AD2"/>
    <w:rPr>
      <w:rFonts w:ascii="Arial" w:hAnsi="Arial" w:cs="Arial"/>
      <w:b/>
      <w:bCs/>
      <w:color w:val="000000"/>
      <w:sz w:val="22"/>
      <w:szCs w:val="22"/>
    </w:rPr>
  </w:style>
  <w:style w:type="character" w:customStyle="1" w:styleId="FontStyle22">
    <w:name w:val="Font Style22"/>
    <w:basedOn w:val="Domylnaczcionkaakapitu"/>
    <w:uiPriority w:val="99"/>
    <w:rsid w:val="00B57AD2"/>
    <w:rPr>
      <w:rFonts w:ascii="Arial" w:hAnsi="Arial" w:cs="Arial"/>
      <w:color w:val="000000"/>
      <w:sz w:val="18"/>
      <w:szCs w:val="18"/>
    </w:rPr>
  </w:style>
  <w:style w:type="character" w:customStyle="1" w:styleId="FontStyle14">
    <w:name w:val="Font Style14"/>
    <w:basedOn w:val="Domylnaczcionkaakapitu"/>
    <w:uiPriority w:val="99"/>
    <w:rsid w:val="00B57AD2"/>
    <w:rPr>
      <w:rFonts w:ascii="Arial" w:hAnsi="Arial" w:cs="Arial"/>
      <w:b/>
      <w:bCs/>
      <w:color w:val="000000"/>
      <w:sz w:val="18"/>
      <w:szCs w:val="18"/>
    </w:rPr>
  </w:style>
  <w:style w:type="character" w:customStyle="1" w:styleId="FontStyle16">
    <w:name w:val="Font Style16"/>
    <w:basedOn w:val="Domylnaczcionkaakapitu"/>
    <w:uiPriority w:val="99"/>
    <w:rsid w:val="00B57AD2"/>
    <w:rPr>
      <w:rFonts w:ascii="Arial" w:hAnsi="Arial" w:cs="Arial"/>
      <w:color w:val="000000"/>
      <w:sz w:val="18"/>
      <w:szCs w:val="18"/>
    </w:rPr>
  </w:style>
  <w:style w:type="character" w:customStyle="1" w:styleId="FontStyle24">
    <w:name w:val="Font Style24"/>
    <w:basedOn w:val="Domylnaczcionkaakapitu"/>
    <w:uiPriority w:val="99"/>
    <w:rsid w:val="00B57AD2"/>
    <w:rPr>
      <w:rFonts w:ascii="Arial" w:hAnsi="Arial" w:cs="Arial"/>
      <w:color w:val="000000"/>
      <w:sz w:val="18"/>
      <w:szCs w:val="18"/>
    </w:rPr>
  </w:style>
  <w:style w:type="character" w:customStyle="1" w:styleId="FontStyle18">
    <w:name w:val="Font Style18"/>
    <w:basedOn w:val="Domylnaczcionkaakapitu"/>
    <w:uiPriority w:val="99"/>
    <w:rsid w:val="00B57AD2"/>
    <w:rPr>
      <w:rFonts w:ascii="Arial" w:hAnsi="Arial" w:cs="Arial"/>
      <w:color w:val="000000"/>
      <w:sz w:val="18"/>
      <w:szCs w:val="18"/>
    </w:rPr>
  </w:style>
  <w:style w:type="character" w:customStyle="1" w:styleId="FontStyle26">
    <w:name w:val="Font Style26"/>
    <w:basedOn w:val="Domylnaczcionkaakapitu"/>
    <w:uiPriority w:val="99"/>
    <w:rsid w:val="00B57AD2"/>
    <w:rPr>
      <w:rFonts w:ascii="Arial" w:hAnsi="Arial" w:cs="Arial"/>
      <w:color w:val="000000"/>
      <w:sz w:val="18"/>
      <w:szCs w:val="18"/>
    </w:rPr>
  </w:style>
  <w:style w:type="character" w:customStyle="1" w:styleId="FontStyle23">
    <w:name w:val="Font Style23"/>
    <w:basedOn w:val="Domylnaczcionkaakapitu"/>
    <w:uiPriority w:val="99"/>
    <w:rsid w:val="00B57AD2"/>
    <w:rPr>
      <w:rFonts w:ascii="Arial" w:hAnsi="Arial" w:cs="Arial"/>
      <w:color w:val="000000"/>
      <w:sz w:val="18"/>
      <w:szCs w:val="18"/>
    </w:rPr>
  </w:style>
  <w:style w:type="paragraph" w:styleId="Bezodstpw">
    <w:name w:val="No Spacing"/>
    <w:uiPriority w:val="1"/>
    <w:qFormat/>
    <w:rsid w:val="00B57AD2"/>
    <w:pPr>
      <w:spacing w:after="0" w:line="240" w:lineRule="auto"/>
    </w:pPr>
    <w:rPr>
      <w:rFonts w:ascii="Calibri" w:eastAsia="Times New Roman" w:hAnsi="Calibri" w:cs="Times New Roman"/>
      <w:lang w:eastAsia="pl-PL"/>
    </w:rPr>
  </w:style>
  <w:style w:type="paragraph" w:styleId="Stopka">
    <w:name w:val="footer"/>
    <w:basedOn w:val="Normalny"/>
    <w:link w:val="StopkaZnak"/>
    <w:uiPriority w:val="99"/>
    <w:rsid w:val="00B57AD2"/>
    <w:pPr>
      <w:tabs>
        <w:tab w:val="center" w:pos="4536"/>
        <w:tab w:val="right" w:pos="9072"/>
      </w:tabs>
    </w:pPr>
  </w:style>
  <w:style w:type="character" w:customStyle="1" w:styleId="StopkaZnak">
    <w:name w:val="Stopka Znak"/>
    <w:basedOn w:val="Domylnaczcionkaakapitu"/>
    <w:link w:val="Stopka"/>
    <w:uiPriority w:val="99"/>
    <w:rsid w:val="00B57AD2"/>
    <w:rPr>
      <w:rFonts w:ascii="Calibri" w:eastAsia="Times New Roman" w:hAnsi="Calibri" w:cs="Times New Roman"/>
      <w:lang w:eastAsia="pl-PL"/>
    </w:rPr>
  </w:style>
  <w:style w:type="paragraph" w:styleId="Akapitzlist">
    <w:name w:val="List Paragraph"/>
    <w:basedOn w:val="Normalny"/>
    <w:uiPriority w:val="34"/>
    <w:qFormat/>
    <w:rsid w:val="00AE6E20"/>
    <w:pPr>
      <w:ind w:left="720"/>
      <w:contextualSpacing/>
    </w:pPr>
  </w:style>
  <w:style w:type="paragraph" w:customStyle="1" w:styleId="CM26">
    <w:name w:val="CM26"/>
    <w:basedOn w:val="Normalny"/>
    <w:next w:val="Normalny"/>
    <w:uiPriority w:val="99"/>
    <w:rsid w:val="004E26DE"/>
    <w:pPr>
      <w:widowControl w:val="0"/>
      <w:autoSpaceDE w:val="0"/>
      <w:autoSpaceDN w:val="0"/>
      <w:adjustRightInd w:val="0"/>
      <w:spacing w:after="63"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73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1601</Words>
  <Characters>9612</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3</cp:revision>
  <dcterms:created xsi:type="dcterms:W3CDTF">2017-09-07T10:27:00Z</dcterms:created>
  <dcterms:modified xsi:type="dcterms:W3CDTF">2017-09-19T09:25:00Z</dcterms:modified>
</cp:coreProperties>
</file>